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7800" w14:textId="77777777" w:rsidR="00FE067E" w:rsidRPr="00C64271" w:rsidRDefault="003C6034" w:rsidP="00CC1F3B">
      <w:pPr>
        <w:pStyle w:val="TitlePageOrigin"/>
        <w:rPr>
          <w:color w:val="auto"/>
        </w:rPr>
      </w:pPr>
      <w:r w:rsidRPr="00C64271">
        <w:rPr>
          <w:caps w:val="0"/>
          <w:color w:val="auto"/>
        </w:rPr>
        <w:t>WEST VIRGINIA LEGISLATURE</w:t>
      </w:r>
    </w:p>
    <w:p w14:paraId="23F46122" w14:textId="5ECC8385" w:rsidR="00CD36CF" w:rsidRPr="00C64271" w:rsidRDefault="00CD36CF" w:rsidP="00CC1F3B">
      <w:pPr>
        <w:pStyle w:val="TitlePageSession"/>
        <w:rPr>
          <w:color w:val="auto"/>
        </w:rPr>
      </w:pPr>
      <w:r w:rsidRPr="00C64271">
        <w:rPr>
          <w:color w:val="auto"/>
        </w:rPr>
        <w:t>20</w:t>
      </w:r>
      <w:r w:rsidR="00EC5E63" w:rsidRPr="00C64271">
        <w:rPr>
          <w:color w:val="auto"/>
        </w:rPr>
        <w:t>2</w:t>
      </w:r>
      <w:r w:rsidR="00E41D53" w:rsidRPr="00C64271">
        <w:rPr>
          <w:color w:val="auto"/>
        </w:rPr>
        <w:t>5</w:t>
      </w:r>
      <w:r w:rsidRPr="00C64271">
        <w:rPr>
          <w:color w:val="auto"/>
        </w:rPr>
        <w:t xml:space="preserve"> </w:t>
      </w:r>
      <w:r w:rsidR="003C6034" w:rsidRPr="00C64271">
        <w:rPr>
          <w:caps w:val="0"/>
          <w:color w:val="auto"/>
        </w:rPr>
        <w:t>REGULAR SESSION</w:t>
      </w:r>
    </w:p>
    <w:p w14:paraId="713F139D" w14:textId="77777777" w:rsidR="00CD36CF" w:rsidRPr="00C64271" w:rsidRDefault="00E400D4" w:rsidP="00CC1F3B">
      <w:pPr>
        <w:pStyle w:val="TitlePageBillPrefix"/>
        <w:rPr>
          <w:color w:val="auto"/>
        </w:rPr>
      </w:pPr>
      <w:sdt>
        <w:sdtPr>
          <w:rPr>
            <w:color w:val="auto"/>
          </w:rPr>
          <w:tag w:val="IntroDate"/>
          <w:id w:val="-1236936958"/>
          <w:placeholder>
            <w:docPart w:val="0C21B1302A55460C8ECF008DA7A0FD4F"/>
          </w:placeholder>
          <w:text/>
        </w:sdtPr>
        <w:sdtEndPr/>
        <w:sdtContent>
          <w:r w:rsidR="00AE48A0" w:rsidRPr="00C64271">
            <w:rPr>
              <w:color w:val="auto"/>
            </w:rPr>
            <w:t>Introduced</w:t>
          </w:r>
        </w:sdtContent>
      </w:sdt>
    </w:p>
    <w:p w14:paraId="1BE06C11" w14:textId="11854069" w:rsidR="00CD36CF" w:rsidRPr="00C64271" w:rsidRDefault="00E400D4" w:rsidP="00CC1F3B">
      <w:pPr>
        <w:pStyle w:val="BillNumber"/>
        <w:rPr>
          <w:color w:val="auto"/>
        </w:rPr>
      </w:pPr>
      <w:sdt>
        <w:sdtPr>
          <w:rPr>
            <w:color w:val="auto"/>
          </w:rPr>
          <w:tag w:val="Chamber"/>
          <w:id w:val="893011969"/>
          <w:lock w:val="sdtLocked"/>
          <w:placeholder>
            <w:docPart w:val="2F01CC0A8A8B468BAF98BCD9B0EFFB78"/>
          </w:placeholder>
          <w:dropDownList>
            <w:listItem w:displayText="House" w:value="House"/>
            <w:listItem w:displayText="Senate" w:value="Senate"/>
          </w:dropDownList>
        </w:sdtPr>
        <w:sdtEndPr/>
        <w:sdtContent>
          <w:r w:rsidR="00C33434" w:rsidRPr="00C64271">
            <w:rPr>
              <w:color w:val="auto"/>
            </w:rPr>
            <w:t>House</w:t>
          </w:r>
        </w:sdtContent>
      </w:sdt>
      <w:r w:rsidR="00303684" w:rsidRPr="00C64271">
        <w:rPr>
          <w:color w:val="auto"/>
        </w:rPr>
        <w:t xml:space="preserve"> </w:t>
      </w:r>
      <w:r w:rsidR="00CD36CF" w:rsidRPr="00C64271">
        <w:rPr>
          <w:color w:val="auto"/>
        </w:rPr>
        <w:t xml:space="preserve">Bill </w:t>
      </w:r>
      <w:sdt>
        <w:sdtPr>
          <w:rPr>
            <w:color w:val="auto"/>
          </w:rPr>
          <w:tag w:val="BNum"/>
          <w:id w:val="1645317809"/>
          <w:lock w:val="sdtLocked"/>
          <w:placeholder>
            <w:docPart w:val="CEAB300E812E430FA5BC56212F75B0B7"/>
          </w:placeholder>
          <w:text/>
        </w:sdtPr>
        <w:sdtEndPr/>
        <w:sdtContent>
          <w:r w:rsidR="00872DBA">
            <w:rPr>
              <w:color w:val="auto"/>
            </w:rPr>
            <w:t>2148</w:t>
          </w:r>
        </w:sdtContent>
      </w:sdt>
    </w:p>
    <w:p w14:paraId="0B9E8FBC" w14:textId="23F78A9C" w:rsidR="00CD36CF" w:rsidRPr="00C64271" w:rsidRDefault="00CD36CF" w:rsidP="00CC1F3B">
      <w:pPr>
        <w:pStyle w:val="Sponsors"/>
        <w:rPr>
          <w:color w:val="auto"/>
        </w:rPr>
      </w:pPr>
      <w:r w:rsidRPr="00C64271">
        <w:rPr>
          <w:color w:val="auto"/>
        </w:rPr>
        <w:t xml:space="preserve">By </w:t>
      </w:r>
      <w:sdt>
        <w:sdtPr>
          <w:rPr>
            <w:color w:val="auto"/>
          </w:rPr>
          <w:tag w:val="Sponsors"/>
          <w:id w:val="1589585889"/>
          <w:placeholder>
            <w:docPart w:val="EF4D6A57A0B94F46A310A81AA188A5D8"/>
          </w:placeholder>
          <w:text w:multiLine="1"/>
        </w:sdtPr>
        <w:sdtEndPr/>
        <w:sdtContent>
          <w:r w:rsidR="00EC7C76" w:rsidRPr="00C64271">
            <w:rPr>
              <w:color w:val="auto"/>
            </w:rPr>
            <w:t>Delegate</w:t>
          </w:r>
          <w:r w:rsidR="00B77BD6">
            <w:rPr>
              <w:color w:val="auto"/>
            </w:rPr>
            <w:t>s</w:t>
          </w:r>
          <w:r w:rsidR="00EC7C76" w:rsidRPr="00C64271">
            <w:rPr>
              <w:color w:val="auto"/>
            </w:rPr>
            <w:t xml:space="preserve"> </w:t>
          </w:r>
          <w:r w:rsidR="00FA5EFE">
            <w:rPr>
              <w:color w:val="auto"/>
            </w:rPr>
            <w:t xml:space="preserve">G. </w:t>
          </w:r>
          <w:r w:rsidR="00EC7C76" w:rsidRPr="00C64271">
            <w:rPr>
              <w:color w:val="auto"/>
            </w:rPr>
            <w:t>Howell</w:t>
          </w:r>
          <w:r w:rsidR="00E400D4">
            <w:rPr>
              <w:color w:val="auto"/>
            </w:rPr>
            <w:t xml:space="preserve">, </w:t>
          </w:r>
          <w:r w:rsidR="00B77BD6">
            <w:rPr>
              <w:color w:val="auto"/>
            </w:rPr>
            <w:t>W. Clark</w:t>
          </w:r>
          <w:r w:rsidR="00E400D4">
            <w:rPr>
              <w:color w:val="auto"/>
            </w:rPr>
            <w:t>, and B. Smith</w:t>
          </w:r>
        </w:sdtContent>
      </w:sdt>
    </w:p>
    <w:p w14:paraId="5CFCE4AE" w14:textId="0F624E96" w:rsidR="00E831B3" w:rsidRPr="00C64271" w:rsidRDefault="00CD36CF" w:rsidP="00CC1F3B">
      <w:pPr>
        <w:pStyle w:val="References"/>
        <w:rPr>
          <w:color w:val="auto"/>
        </w:rPr>
      </w:pPr>
      <w:r w:rsidRPr="00C64271">
        <w:rPr>
          <w:color w:val="auto"/>
        </w:rPr>
        <w:t>[</w:t>
      </w:r>
      <w:sdt>
        <w:sdtPr>
          <w:rPr>
            <w:color w:val="auto"/>
          </w:rPr>
          <w:tag w:val="References"/>
          <w:id w:val="-1043047873"/>
          <w:placeholder>
            <w:docPart w:val="AFBCE682596B42BB8877F4A9BF4168FA"/>
          </w:placeholder>
          <w:text w:multiLine="1"/>
        </w:sdtPr>
        <w:sdtEndPr/>
        <w:sdtContent>
          <w:r w:rsidR="00FF23A7" w:rsidRPr="00C64271">
            <w:rPr>
              <w:color w:val="auto"/>
            </w:rPr>
            <w:t xml:space="preserve">Introduced </w:t>
          </w:r>
          <w:r w:rsidR="00FF23A7" w:rsidRPr="00106DC9">
            <w:rPr>
              <w:color w:val="auto"/>
            </w:rPr>
            <w:t>February 12, 2025</w:t>
          </w:r>
          <w:r w:rsidR="00FF23A7" w:rsidRPr="00C64271">
            <w:rPr>
              <w:color w:val="auto"/>
            </w:rPr>
            <w:t>; referred</w:t>
          </w:r>
          <w:r w:rsidR="00FF23A7" w:rsidRPr="00C64271">
            <w:rPr>
              <w:color w:val="auto"/>
            </w:rPr>
            <w:br/>
            <w:t xml:space="preserve">to the Committee on </w:t>
          </w:r>
          <w:r w:rsidR="00FF23A7">
            <w:rPr>
              <w:color w:val="auto"/>
            </w:rPr>
            <w:t>Government Organization then Finance</w:t>
          </w:r>
        </w:sdtContent>
      </w:sdt>
      <w:r w:rsidRPr="00C64271">
        <w:rPr>
          <w:color w:val="auto"/>
        </w:rPr>
        <w:t>]</w:t>
      </w:r>
      <w:r w:rsidR="00FF5D49" w:rsidRPr="00C64271">
        <w:rPr>
          <w:noProof/>
          <w:color w:val="auto"/>
        </w:rPr>
        <mc:AlternateContent>
          <mc:Choice Requires="wps">
            <w:drawing>
              <wp:anchor distT="0" distB="0" distL="114300" distR="114300" simplePos="0" relativeHeight="251659264" behindDoc="0" locked="0" layoutInCell="1" allowOverlap="1" wp14:anchorId="605265A1" wp14:editId="702FE85F">
                <wp:simplePos x="0" y="0"/>
                <wp:positionH relativeFrom="column">
                  <wp:posOffset>6007100</wp:posOffset>
                </wp:positionH>
                <wp:positionV relativeFrom="paragraph">
                  <wp:posOffset>-1341120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7090AA" w14:textId="57119499" w:rsidR="00FF5D49" w:rsidRPr="00FF5D49" w:rsidRDefault="00FF5D49" w:rsidP="00FF5D49">
                            <w:pPr>
                              <w:spacing w:line="240" w:lineRule="auto"/>
                              <w:jc w:val="center"/>
                              <w:rPr>
                                <w:rFonts w:cs="Arial"/>
                                <w:b/>
                              </w:rPr>
                            </w:pPr>
                            <w:r w:rsidRPr="00FF5D4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265A1"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DbEGmDkAAAADgEAAA8AAABkcnMvZG93bnJldi54bWxMj8FO&#10;wzAQRO9I/IO1SFxQ6yRFEYQ4VYWKkHpAassBbpt4SQLxOsRuG/4et5f2uLOjmTf5fDSd2NPgWssK&#10;4mkEgriyuuVawfv2ZfIAwnlkjZ1lUvBHDubF9VWOmbYHXtN+42sRQthlqKDxvs+kdFVDBt3U9sTh&#10;92UHgz6cQy31gIcQbjqZRFEqDbYcGhrs6bmh6mezMwp+19/bt+VrqWd4txg/SlzJz+VKqdubcfEE&#10;wtPoz2Y44gd0KAJTaXesnegUPN6nYYtXMEniOAFxtEQnrQxaPEsTkEUuL2cU/wAAAP//AwBQSwEC&#10;LQAUAAYACAAAACEAtoM4kv4AAADhAQAAEwAAAAAAAAAAAAAAAAAAAAAAW0NvbnRlbnRfVHlwZXNd&#10;LnhtbFBLAQItABQABgAIAAAAIQA4/SH/1gAAAJQBAAALAAAAAAAAAAAAAAAAAC8BAABfcmVscy8u&#10;cmVsc1BLAQItABQABgAIAAAAIQA5PwfVIgIAAEcEAAAOAAAAAAAAAAAAAAAAAC4CAABkcnMvZTJv&#10;RG9jLnhtbFBLAQItABQABgAIAAAAIQA2xBpg5AAAAA4BAAAPAAAAAAAAAAAAAAAAAHwEAABkcnMv&#10;ZG93bnJldi54bWxQSwUGAAAAAAQABADzAAAAjQUAAAAA&#10;" filled="f" strokeweight=".5pt">
                <v:textbox inset="0,5pt,0,0">
                  <w:txbxContent>
                    <w:p w14:paraId="457090AA" w14:textId="57119499" w:rsidR="00FF5D49" w:rsidRPr="00FF5D49" w:rsidRDefault="00FF5D49" w:rsidP="00FF5D49">
                      <w:pPr>
                        <w:spacing w:line="240" w:lineRule="auto"/>
                        <w:jc w:val="center"/>
                        <w:rPr>
                          <w:rFonts w:cs="Arial"/>
                          <w:b/>
                        </w:rPr>
                      </w:pPr>
                      <w:r w:rsidRPr="00FF5D49">
                        <w:rPr>
                          <w:rFonts w:cs="Arial"/>
                          <w:b/>
                        </w:rPr>
                        <w:t>FISCAL NOTE</w:t>
                      </w:r>
                    </w:p>
                  </w:txbxContent>
                </v:textbox>
              </v:shape>
            </w:pict>
          </mc:Fallback>
        </mc:AlternateContent>
      </w:r>
    </w:p>
    <w:p w14:paraId="0E8F0D31" w14:textId="4AB250F7" w:rsidR="00715DAA" w:rsidRPr="00C64271" w:rsidRDefault="00715DAA" w:rsidP="00715DAA">
      <w:pPr>
        <w:pStyle w:val="TitleSection"/>
        <w:rPr>
          <w:color w:val="auto"/>
        </w:rPr>
      </w:pPr>
      <w:r w:rsidRPr="00C64271">
        <w:rPr>
          <w:color w:val="auto"/>
        </w:rPr>
        <w:lastRenderedPageBreak/>
        <w:t xml:space="preserve">A BILL to amend and reenact §8A-7-3 of the Code of West Virginia, 1931, as amended, and to add thereto a new article, designated §11-13PP-1, §11-13PP-2, §11-13PP-3, §11-13PP-4, §11-13PP-5, §11-13PP-6, §11-13PP-7, §11-13PP-8, §11-13PP-9, §11-13PP-10, and §11-13PP-11, relating to the </w:t>
      </w:r>
      <w:bookmarkStart w:id="0" w:name="_Hlk125126243"/>
      <w:bookmarkStart w:id="1" w:name="_Hlk91510754"/>
      <w:r w:rsidRPr="00C64271">
        <w:rPr>
          <w:color w:val="auto"/>
        </w:rPr>
        <w:t xml:space="preserve">Tourism and </w:t>
      </w:r>
      <w:bookmarkEnd w:id="0"/>
      <w:r w:rsidRPr="00C64271">
        <w:rPr>
          <w:color w:val="auto"/>
        </w:rPr>
        <w:t>Commercial Opportunity Zone Tax and Tax Credit Act; providing for a short title; providing legislative findings and purpose; creating a new species and class of property directed by law; creating definitions; establishing the Tourism and Commercial Opportunity Zone tax and tax credit; providing for restrictions on investment; providing for a penalty; providing for disclosure of tax credits; providing for tax and tax credit review and accountability; creating rulemaking authority; and providing an effective date.</w:t>
      </w:r>
    </w:p>
    <w:bookmarkEnd w:id="1"/>
    <w:p w14:paraId="20F9B8F7" w14:textId="77777777" w:rsidR="00715DAA" w:rsidRPr="00C64271" w:rsidRDefault="00715DAA" w:rsidP="00715DAA">
      <w:pPr>
        <w:pStyle w:val="EnactingClause"/>
        <w:rPr>
          <w:color w:val="auto"/>
        </w:rPr>
        <w:sectPr w:rsidR="00715DAA" w:rsidRPr="00C64271" w:rsidSect="00B1011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C64271">
        <w:rPr>
          <w:color w:val="auto"/>
        </w:rPr>
        <w:t>Be it enacted by the Legislature of West Virginia:</w:t>
      </w:r>
    </w:p>
    <w:p w14:paraId="27399CFF" w14:textId="77777777" w:rsidR="00715DAA" w:rsidRPr="00C64271" w:rsidRDefault="00715DAA" w:rsidP="00715DAA">
      <w:pPr>
        <w:pStyle w:val="ChapterHeading"/>
        <w:rPr>
          <w:color w:val="auto"/>
        </w:rPr>
      </w:pPr>
      <w:r w:rsidRPr="00C64271">
        <w:rPr>
          <w:color w:val="auto"/>
        </w:rPr>
        <w:t>CHAPTER 8A. LAND USE PLANNING.</w:t>
      </w:r>
    </w:p>
    <w:p w14:paraId="68489E21" w14:textId="77777777" w:rsidR="00715DAA" w:rsidRPr="00C64271" w:rsidRDefault="00715DAA" w:rsidP="00715DAA">
      <w:pPr>
        <w:rPr>
          <w:color w:val="auto"/>
        </w:rPr>
        <w:sectPr w:rsidR="00715DAA" w:rsidRPr="00C64271" w:rsidSect="00B10116">
          <w:type w:val="continuous"/>
          <w:pgSz w:w="12240" w:h="15840" w:code="1"/>
          <w:pgMar w:top="1440" w:right="1440" w:bottom="1440" w:left="1440" w:header="720" w:footer="720" w:gutter="0"/>
          <w:lnNumType w:countBy="1" w:restart="newSection"/>
          <w:pgNumType w:start="0"/>
          <w:cols w:space="720"/>
          <w:titlePg/>
          <w:docGrid w:linePitch="360"/>
        </w:sectPr>
      </w:pPr>
    </w:p>
    <w:p w14:paraId="44E73A5F" w14:textId="77777777" w:rsidR="00715DAA" w:rsidRPr="00C64271" w:rsidRDefault="00715DAA" w:rsidP="00715DAA">
      <w:pPr>
        <w:pStyle w:val="ArticleHeading"/>
        <w:rPr>
          <w:color w:val="auto"/>
        </w:rPr>
      </w:pPr>
      <w:r w:rsidRPr="00C64271">
        <w:rPr>
          <w:color w:val="auto"/>
        </w:rPr>
        <w:t>ARTICLE 7. ZONING ORDINANCE.</w:t>
      </w:r>
    </w:p>
    <w:p w14:paraId="75B714F1" w14:textId="77777777" w:rsidR="00715DAA" w:rsidRPr="00C64271" w:rsidRDefault="00715DAA" w:rsidP="00715DAA">
      <w:pPr>
        <w:pStyle w:val="ArticleHeading"/>
        <w:rPr>
          <w:color w:val="auto"/>
        </w:rPr>
        <w:sectPr w:rsidR="00715DAA" w:rsidRPr="00C64271" w:rsidSect="00B10116">
          <w:type w:val="continuous"/>
          <w:pgSz w:w="12240" w:h="15840" w:code="1"/>
          <w:pgMar w:top="1440" w:right="1440" w:bottom="1440" w:left="1440" w:header="720" w:footer="720" w:gutter="0"/>
          <w:lnNumType w:countBy="1" w:restart="newSection"/>
          <w:pgNumType w:start="0"/>
          <w:cols w:space="720"/>
          <w:titlePg/>
          <w:docGrid w:linePitch="360"/>
        </w:sectPr>
      </w:pPr>
    </w:p>
    <w:p w14:paraId="0BAB57DE" w14:textId="77777777" w:rsidR="00715DAA" w:rsidRPr="00C64271" w:rsidRDefault="00715DAA" w:rsidP="00715DAA">
      <w:pPr>
        <w:pStyle w:val="SectionHeading"/>
        <w:rPr>
          <w:color w:val="auto"/>
        </w:rPr>
      </w:pPr>
      <w:r w:rsidRPr="00C64271">
        <w:rPr>
          <w:color w:val="auto"/>
        </w:rPr>
        <w:t>§8A-7-3. Zoning -- Generally.</w:t>
      </w:r>
    </w:p>
    <w:p w14:paraId="47568BEE" w14:textId="0DB84C76" w:rsidR="00715DAA" w:rsidRPr="00C64271" w:rsidRDefault="00715DAA" w:rsidP="00715DAA">
      <w:pPr>
        <w:pStyle w:val="SectionBody"/>
        <w:rPr>
          <w:color w:val="auto"/>
          <w:u w:val="single"/>
        </w:rPr>
      </w:pPr>
      <w:r w:rsidRPr="00C64271">
        <w:rPr>
          <w:color w:val="auto"/>
        </w:rPr>
        <w:t>(a) A zoning ordinance may cover a county</w:t>
      </w:r>
      <w:r w:rsidRPr="00C64271">
        <w:rPr>
          <w:color w:val="auto"/>
        </w:rPr>
        <w:sym w:font="Arial" w:char="0027"/>
      </w:r>
      <w:r w:rsidRPr="00C64271">
        <w:rPr>
          <w:color w:val="auto"/>
        </w:rPr>
        <w:t>s entire jurisdiction or parts of its jurisdiction:</w:t>
      </w:r>
      <w:r w:rsidRPr="00C64271">
        <w:rPr>
          <w:color w:val="auto"/>
          <w:u w:val="single"/>
        </w:rPr>
        <w:t xml:space="preserve"> </w:t>
      </w:r>
      <w:r w:rsidRPr="00C64271">
        <w:rPr>
          <w:i/>
          <w:iCs/>
          <w:color w:val="auto"/>
          <w:u w:val="single"/>
        </w:rPr>
        <w:t>Provided,</w:t>
      </w:r>
      <w:r w:rsidRPr="00C64271">
        <w:rPr>
          <w:color w:val="auto"/>
          <w:u w:val="single"/>
        </w:rPr>
        <w:t xml:space="preserve"> That any Tourism and Commercial Opportunity Zone created pursuant to the authority of §11-13PP-1 </w:t>
      </w:r>
      <w:r w:rsidRPr="00C64271">
        <w:rPr>
          <w:i/>
          <w:iCs/>
          <w:color w:val="auto"/>
          <w:u w:val="single"/>
        </w:rPr>
        <w:t>et seq.</w:t>
      </w:r>
      <w:r w:rsidRPr="00C64271">
        <w:rPr>
          <w:color w:val="auto"/>
          <w:u w:val="single"/>
        </w:rPr>
        <w:t xml:space="preserve"> shall take precedence over and supersede any local or county land use ordinance in conflict with such Tourism and Commercial Opportunity Zone.</w:t>
      </w:r>
    </w:p>
    <w:p w14:paraId="5E4310B6" w14:textId="77777777" w:rsidR="00715DAA" w:rsidRPr="00C64271" w:rsidRDefault="00715DAA" w:rsidP="00715DAA">
      <w:pPr>
        <w:pStyle w:val="SectionBody"/>
        <w:rPr>
          <w:color w:val="auto"/>
        </w:rPr>
      </w:pPr>
      <w:r w:rsidRPr="00C64271">
        <w:rPr>
          <w:color w:val="auto"/>
        </w:rPr>
        <w:t>(b) The different zones created in a zoning ordinance by a governing body do not have to cover or include the same territory, and may overlap.</w:t>
      </w:r>
    </w:p>
    <w:p w14:paraId="4DE4FB7F" w14:textId="77777777" w:rsidR="00715DAA" w:rsidRPr="00C64271" w:rsidRDefault="00715DAA" w:rsidP="00715DAA">
      <w:pPr>
        <w:pStyle w:val="SectionBody"/>
        <w:rPr>
          <w:color w:val="auto"/>
        </w:rPr>
      </w:pPr>
      <w:r w:rsidRPr="00C64271">
        <w:rPr>
          <w:color w:val="auto"/>
        </w:rPr>
        <w:t>(c) Overlay districts and special design districts may have specific additional development standards for each permitted, accessory and conditional use.</w:t>
      </w:r>
    </w:p>
    <w:p w14:paraId="649107C2" w14:textId="77777777" w:rsidR="00715DAA" w:rsidRPr="00C64271" w:rsidRDefault="00715DAA" w:rsidP="00715DAA">
      <w:pPr>
        <w:pStyle w:val="SectionBody"/>
        <w:rPr>
          <w:color w:val="auto"/>
        </w:rPr>
      </w:pPr>
      <w:r w:rsidRPr="00C64271">
        <w:rPr>
          <w:color w:val="auto"/>
        </w:rPr>
        <w:t>(d) Each zone will be subject to the same rules, regulations, standards and designations throughout the zone, unless specific provisions are made by the governing body in the zoning ordinance. (e) Essential utilities and equipment are a permitted use in any zoning district.</w:t>
      </w:r>
    </w:p>
    <w:p w14:paraId="2AE38867" w14:textId="77777777" w:rsidR="00715DAA" w:rsidRPr="00C64271" w:rsidRDefault="00715DAA" w:rsidP="00715DAA">
      <w:pPr>
        <w:pStyle w:val="SectionBody"/>
        <w:rPr>
          <w:color w:val="auto"/>
        </w:rPr>
      </w:pPr>
      <w:r w:rsidRPr="00C64271">
        <w:rPr>
          <w:color w:val="auto"/>
        </w:rPr>
        <w:lastRenderedPageBreak/>
        <w:t>(f) Several areas of a municipality or county may be classified in a zone even though the areas are not contiguous.</w:t>
      </w:r>
    </w:p>
    <w:p w14:paraId="75F4929C" w14:textId="77777777" w:rsidR="00715DAA" w:rsidRPr="00C64271" w:rsidRDefault="00715DAA" w:rsidP="00715DAA">
      <w:pPr>
        <w:pStyle w:val="SectionBody"/>
        <w:rPr>
          <w:color w:val="auto"/>
        </w:rPr>
      </w:pPr>
      <w:r w:rsidRPr="00C64271">
        <w:rPr>
          <w:color w:val="auto"/>
        </w:rPr>
        <w:t>(g) The boundaries of each zone and the designated classifications must be shown on a zoning district map. The boundaries may only be changed after appropriate public hearing and zoning district map changes are adopted by the governing body.</w:t>
      </w:r>
    </w:p>
    <w:p w14:paraId="42A9578B" w14:textId="77777777" w:rsidR="00715DAA" w:rsidRPr="00C64271" w:rsidRDefault="00715DAA" w:rsidP="00715DAA">
      <w:pPr>
        <w:pStyle w:val="SectionBody"/>
        <w:rPr>
          <w:color w:val="auto"/>
        </w:rPr>
      </w:pPr>
      <w:r w:rsidRPr="00C64271">
        <w:rPr>
          <w:color w:val="auto"/>
        </w:rPr>
        <w:t>(h) A governing body shall certify the original zoning district map. Subsequent versions of the zoning district map shall be certified and clearly identified with an effective date.</w:t>
      </w:r>
    </w:p>
    <w:p w14:paraId="7590467C" w14:textId="77777777" w:rsidR="00715DAA" w:rsidRPr="00C64271" w:rsidRDefault="00715DAA" w:rsidP="00715DAA">
      <w:pPr>
        <w:pStyle w:val="SectionBody"/>
        <w:rPr>
          <w:b/>
          <w:caps/>
          <w:color w:val="auto"/>
          <w:sz w:val="24"/>
          <w:u w:val="single"/>
        </w:rPr>
        <w:sectPr w:rsidR="00715DAA" w:rsidRPr="00C64271" w:rsidSect="005709BB">
          <w:type w:val="continuous"/>
          <w:pgSz w:w="12240" w:h="15840" w:code="1"/>
          <w:pgMar w:top="1440" w:right="1440" w:bottom="1440" w:left="1440" w:header="720" w:footer="720" w:gutter="0"/>
          <w:lnNumType w:countBy="1" w:restart="newSection"/>
          <w:pgNumType w:start="1"/>
          <w:cols w:space="720"/>
          <w:titlePg/>
          <w:docGrid w:linePitch="360"/>
        </w:sectPr>
      </w:pPr>
      <w:r w:rsidRPr="00C64271">
        <w:rPr>
          <w:color w:val="auto"/>
        </w:rPr>
        <w:t>(i) All certified zoning district maps must be filed with the clerk of the applicable governing body, the applicable planning commission and the office of the clerk of the applicable county commission.</w:t>
      </w:r>
    </w:p>
    <w:p w14:paraId="3AECFED4" w14:textId="77777777" w:rsidR="00715DAA" w:rsidRPr="00C64271" w:rsidRDefault="00715DAA" w:rsidP="00715DAA">
      <w:pPr>
        <w:pStyle w:val="ChapterHeading"/>
        <w:rPr>
          <w:color w:val="auto"/>
        </w:rPr>
        <w:sectPr w:rsidR="00715DAA" w:rsidRPr="00C64271" w:rsidSect="00B10116">
          <w:type w:val="continuous"/>
          <w:pgSz w:w="12240" w:h="15840" w:code="1"/>
          <w:pgMar w:top="1440" w:right="1440" w:bottom="1440" w:left="1440" w:header="720" w:footer="720" w:gutter="0"/>
          <w:lnNumType w:countBy="1" w:restart="newSection"/>
          <w:pgNumType w:start="0"/>
          <w:cols w:space="720"/>
          <w:titlePg/>
          <w:docGrid w:linePitch="360"/>
        </w:sectPr>
      </w:pPr>
      <w:r w:rsidRPr="00C64271">
        <w:rPr>
          <w:color w:val="auto"/>
        </w:rPr>
        <w:t>CHAPTER 11. TAXATION.</w:t>
      </w:r>
    </w:p>
    <w:p w14:paraId="30F8E78E" w14:textId="77777777" w:rsidR="00715DAA" w:rsidRPr="00C64271" w:rsidRDefault="00715DAA" w:rsidP="00715DAA">
      <w:pPr>
        <w:pStyle w:val="ArticleHeading"/>
        <w:rPr>
          <w:color w:val="auto"/>
          <w:u w:val="single"/>
        </w:rPr>
      </w:pPr>
      <w:r w:rsidRPr="00C64271">
        <w:rPr>
          <w:color w:val="auto"/>
          <w:u w:val="single"/>
        </w:rPr>
        <w:t>ARTICLE 13PP. TOURISM AND COMMERCIAL OPPORTUNITY ZONE TAX and tax CREDIT.</w:t>
      </w:r>
      <w:bookmarkStart w:id="4" w:name="_Hlk93052456"/>
    </w:p>
    <w:p w14:paraId="57D7F293"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pgNumType w:start="0"/>
          <w:cols w:space="720"/>
          <w:titlePg/>
          <w:docGrid w:linePitch="360"/>
        </w:sectPr>
      </w:pPr>
      <w:bookmarkStart w:id="5" w:name="_Hlk125629666"/>
      <w:r w:rsidRPr="00C64271">
        <w:rPr>
          <w:color w:val="auto"/>
          <w:u w:val="single"/>
        </w:rPr>
        <w:t>§11-13PP-1</w:t>
      </w:r>
      <w:bookmarkEnd w:id="5"/>
      <w:r w:rsidRPr="00C64271">
        <w:rPr>
          <w:color w:val="auto"/>
          <w:u w:val="single"/>
        </w:rPr>
        <w:t xml:space="preserve">. Short </w:t>
      </w:r>
      <w:r w:rsidRPr="00C64271">
        <w:rPr>
          <w:rStyle w:val="SectionHeadingChar"/>
          <w:b/>
          <w:color w:val="auto"/>
          <w:u w:val="single"/>
        </w:rPr>
        <w:t>Title</w:t>
      </w:r>
      <w:r w:rsidRPr="00C64271">
        <w:rPr>
          <w:color w:val="auto"/>
          <w:u w:val="single"/>
        </w:rPr>
        <w:t>.</w:t>
      </w:r>
    </w:p>
    <w:p w14:paraId="1281CFE4" w14:textId="77777777" w:rsidR="00715DAA" w:rsidRPr="00C64271" w:rsidRDefault="00715DAA" w:rsidP="00715DAA">
      <w:pPr>
        <w:pStyle w:val="SectionBody"/>
        <w:rPr>
          <w:color w:val="auto"/>
          <w:u w:val="single"/>
        </w:rPr>
      </w:pPr>
      <w:r w:rsidRPr="00C64271">
        <w:rPr>
          <w:color w:val="auto"/>
          <w:u w:val="single"/>
        </w:rPr>
        <w:t xml:space="preserve">This article may be cited as the </w:t>
      </w:r>
      <w:bookmarkStart w:id="6" w:name="_Hlk125126184"/>
      <w:r w:rsidRPr="00C64271">
        <w:rPr>
          <w:color w:val="auto"/>
          <w:u w:val="single"/>
        </w:rPr>
        <w:t xml:space="preserve">"Tourism and </w:t>
      </w:r>
      <w:bookmarkEnd w:id="6"/>
      <w:r w:rsidRPr="00C64271">
        <w:rPr>
          <w:color w:val="auto"/>
          <w:u w:val="single"/>
        </w:rPr>
        <w:t>Commercial Opportunity Zone Tax and Tax Credit."</w:t>
      </w:r>
    </w:p>
    <w:p w14:paraId="1911132E" w14:textId="77777777" w:rsidR="00715DAA" w:rsidRPr="00C64271" w:rsidRDefault="00715DAA" w:rsidP="00715DAA">
      <w:pPr>
        <w:pStyle w:val="SectionHeading"/>
        <w:rPr>
          <w:rStyle w:val="SectionHeadingChar"/>
          <w:b/>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w:t>
      </w:r>
      <w:r w:rsidRPr="00C64271">
        <w:rPr>
          <w:rStyle w:val="SectionHeadingChar"/>
          <w:b/>
          <w:color w:val="auto"/>
          <w:u w:val="single"/>
        </w:rPr>
        <w:t>11-13PP-2.  Legislative finding and purpose.</w:t>
      </w:r>
    </w:p>
    <w:p w14:paraId="3F198BC6" w14:textId="77777777" w:rsidR="00715DAA" w:rsidRPr="00C64271" w:rsidRDefault="00715DAA" w:rsidP="00715DAA">
      <w:pPr>
        <w:pStyle w:val="SectionBody"/>
        <w:rPr>
          <w:rFonts w:cs="Arial"/>
          <w:color w:val="auto"/>
          <w:u w:val="single"/>
        </w:rPr>
      </w:pPr>
      <w:r w:rsidRPr="00C64271">
        <w:rPr>
          <w:rFonts w:cs="Arial"/>
          <w:color w:val="auto"/>
          <w:u w:val="single"/>
        </w:rPr>
        <w:t xml:space="preserve">The Legislature finds the encouragement of investment into commercial development of businesses in this state is in the public interest and promotes economic growth and development for the people of this state. With major businesses announcing their intended opening in West Virginia, attracting secondary commercial businesses is in the best interest of the growing economy in West Virginia, and attracting these businesses will revitalize areas of the state that will necessarily come along with new industrial development. In order to </w:t>
      </w:r>
      <w:bookmarkStart w:id="7" w:name="_Hlk125129461"/>
      <w:r w:rsidRPr="00C64271">
        <w:rPr>
          <w:rFonts w:cs="Arial"/>
          <w:color w:val="auto"/>
          <w:u w:val="single"/>
        </w:rPr>
        <w:t>encourage investment in business development in this state and thereby increase employment and economic development</w:t>
      </w:r>
      <w:bookmarkEnd w:id="7"/>
      <w:r w:rsidRPr="00C64271">
        <w:rPr>
          <w:rFonts w:cs="Arial"/>
          <w:color w:val="auto"/>
          <w:u w:val="single"/>
        </w:rPr>
        <w:t xml:space="preserve">, and aggregate tax revenue from economic growth there is hereby provided a </w:t>
      </w:r>
      <w:r w:rsidRPr="00C64271">
        <w:rPr>
          <w:rFonts w:cs="Arial"/>
          <w:color w:val="auto"/>
          <w:u w:val="single"/>
        </w:rPr>
        <w:lastRenderedPageBreak/>
        <w:t>Tourism and Commercial Opportunity Zone tax and tax credit.</w:t>
      </w:r>
    </w:p>
    <w:p w14:paraId="52141062" w14:textId="77777777" w:rsidR="00715DAA" w:rsidRPr="00C64271" w:rsidRDefault="00715DAA" w:rsidP="00715DAA">
      <w:pPr>
        <w:pStyle w:val="SectionHeading"/>
        <w:rPr>
          <w:color w:val="auto"/>
          <w:u w:val="single"/>
        </w:rPr>
        <w:sectPr w:rsidR="00715DAA" w:rsidRPr="00C64271" w:rsidSect="005709BB">
          <w:footerReference w:type="default" r:id="rId11"/>
          <w:type w:val="continuous"/>
          <w:pgSz w:w="12240" w:h="15840" w:code="1"/>
          <w:pgMar w:top="1440" w:right="1440" w:bottom="1440" w:left="1440" w:header="720" w:footer="720" w:gutter="0"/>
          <w:lnNumType w:countBy="1" w:restart="newSection"/>
          <w:pgNumType w:start="2"/>
          <w:cols w:space="720"/>
          <w:titlePg/>
          <w:docGrid w:linePitch="360"/>
        </w:sectPr>
      </w:pPr>
      <w:r w:rsidRPr="00C64271">
        <w:rPr>
          <w:color w:val="auto"/>
          <w:u w:val="single"/>
        </w:rPr>
        <w:t>§11-13PP-3. Definitions.</w:t>
      </w:r>
    </w:p>
    <w:p w14:paraId="66C55731" w14:textId="77777777" w:rsidR="00715DAA" w:rsidRPr="00C64271" w:rsidRDefault="00715DAA" w:rsidP="00715DAA">
      <w:pPr>
        <w:pStyle w:val="SectionBody"/>
        <w:rPr>
          <w:color w:val="auto"/>
          <w:u w:val="single"/>
        </w:rPr>
      </w:pPr>
      <w:r w:rsidRPr="00C64271">
        <w:rPr>
          <w:color w:val="auto"/>
          <w:u w:val="single"/>
        </w:rPr>
        <w:t>As used in this article, the following terms have the meanings ascribed to them in this section, unless the context in which the term is used clearly requires another meaning or a specific different definition is provided:</w:t>
      </w:r>
    </w:p>
    <w:p w14:paraId="3BAED99A" w14:textId="205C2282" w:rsidR="00715DAA" w:rsidRPr="00C64271" w:rsidRDefault="00715DAA" w:rsidP="00715DAA">
      <w:pPr>
        <w:pStyle w:val="SectionBody"/>
        <w:rPr>
          <w:color w:val="auto"/>
          <w:u w:val="single"/>
        </w:rPr>
      </w:pPr>
      <w:bookmarkStart w:id="8" w:name="_Hlk95990757"/>
      <w:bookmarkStart w:id="9" w:name="_Hlk95994506"/>
      <w:r w:rsidRPr="00C64271">
        <w:rPr>
          <w:color w:val="auto"/>
          <w:u w:val="single"/>
        </w:rPr>
        <w:t xml:space="preserve">(1) </w:t>
      </w:r>
      <w:bookmarkStart w:id="10" w:name="_Hlk132795764"/>
      <w:r w:rsidRPr="00C64271">
        <w:rPr>
          <w:color w:val="auto"/>
          <w:u w:val="single"/>
        </w:rPr>
        <w:t xml:space="preserve">"Tourism and Commercial Opportunity Zones" </w:t>
      </w:r>
      <w:bookmarkEnd w:id="10"/>
      <w:r w:rsidRPr="00C64271">
        <w:rPr>
          <w:color w:val="auto"/>
          <w:u w:val="single"/>
        </w:rPr>
        <w:t>are those locations designated by a selection panel of the Secretaries of Economic Development, Tourism</w:t>
      </w:r>
      <w:r w:rsidR="004D0BA2" w:rsidRPr="00C64271">
        <w:rPr>
          <w:color w:val="auto"/>
          <w:u w:val="single"/>
        </w:rPr>
        <w:t>,</w:t>
      </w:r>
      <w:r w:rsidRPr="00C64271">
        <w:rPr>
          <w:color w:val="auto"/>
          <w:u w:val="single"/>
        </w:rPr>
        <w:t xml:space="preserve"> and Commerce or their designees, with approval of county commission or municipal authorities, upon which designation, the area designated and any </w:t>
      </w:r>
      <w:r w:rsidR="004D0BA2" w:rsidRPr="00C64271">
        <w:rPr>
          <w:color w:val="auto"/>
          <w:u w:val="single"/>
        </w:rPr>
        <w:t>q</w:t>
      </w:r>
      <w:r w:rsidRPr="00C64271">
        <w:rPr>
          <w:color w:val="auto"/>
          <w:u w:val="single"/>
        </w:rPr>
        <w:t xml:space="preserve">ualified investment within it shall become a separate species and class of property subject to taxation in proportion to its value as set forth in this article. </w:t>
      </w:r>
    </w:p>
    <w:p w14:paraId="3DDECAE1" w14:textId="14DF748F" w:rsidR="00715DAA" w:rsidRPr="00C64271" w:rsidRDefault="00715DAA" w:rsidP="00715DAA">
      <w:pPr>
        <w:pStyle w:val="SectionBody"/>
        <w:rPr>
          <w:color w:val="auto"/>
          <w:u w:val="single"/>
        </w:rPr>
      </w:pPr>
      <w:r w:rsidRPr="00C64271">
        <w:rPr>
          <w:color w:val="auto"/>
          <w:u w:val="single"/>
        </w:rPr>
        <w:t xml:space="preserve">(2) "Tourism and Commercial Opportunity Zones acreage" means the product of the total population of a county, divided by 1,000 and then multiplied by a factor of 30. </w:t>
      </w:r>
      <w:bookmarkEnd w:id="8"/>
      <w:r w:rsidRPr="00C64271">
        <w:rPr>
          <w:color w:val="auto"/>
          <w:u w:val="single"/>
        </w:rPr>
        <w:t>The land may be used for the purpose of commercial development/improvement in that designated area of acreage per county. (E.g., an area containing 26,000 people would be calculated as 26,000 ÷ 1,000 = 26 x 30 = 780 and thus would have the equivalent amount of 780 acres eligible to be defined as a Tourism and Commercial Opportunity Zone in the county.) Acreage may be subdivided into non-contiguous subsets of acreage in order to facilitate develop if such acreage subdivisions are approved by the selection panel of the Secretaries of Economic Development, Tourism</w:t>
      </w:r>
      <w:r w:rsidR="004D0BA2" w:rsidRPr="00C64271">
        <w:rPr>
          <w:color w:val="auto"/>
          <w:u w:val="single"/>
        </w:rPr>
        <w:t>,</w:t>
      </w:r>
      <w:r w:rsidRPr="00C64271">
        <w:rPr>
          <w:color w:val="auto"/>
          <w:u w:val="single"/>
        </w:rPr>
        <w:t xml:space="preserve"> and Commerce or their designees. </w:t>
      </w:r>
    </w:p>
    <w:bookmarkEnd w:id="9"/>
    <w:p w14:paraId="2719DCBA" w14:textId="77777777" w:rsidR="00715DAA" w:rsidRPr="00C64271" w:rsidRDefault="00715DAA" w:rsidP="00715DAA">
      <w:pPr>
        <w:pStyle w:val="SectionBody"/>
        <w:rPr>
          <w:color w:val="auto"/>
          <w:u w:val="single"/>
        </w:rPr>
      </w:pPr>
      <w:r w:rsidRPr="00C64271">
        <w:rPr>
          <w:color w:val="auto"/>
          <w:u w:val="single"/>
        </w:rPr>
        <w:t>(2) "Eligible taxpayer" means a person that has received certification from the Department of Economic Development that a portion of the Tourism and Commercial Opportunity Zone tax and tax credit has been allocated to it, that is subject to the tax otherwise imposed by this chapter, and that has made a qualified investment into a Tourism and Commercial Opportunity Zone for the purpose of bringing businesses into a Tourism and Commercial Opportunity Zone.</w:t>
      </w:r>
    </w:p>
    <w:p w14:paraId="26358DE2" w14:textId="77777777" w:rsidR="00715DAA" w:rsidRPr="00C64271" w:rsidRDefault="00715DAA" w:rsidP="00715DAA">
      <w:pPr>
        <w:pStyle w:val="SectionBody"/>
        <w:rPr>
          <w:color w:val="auto"/>
          <w:u w:val="single"/>
        </w:rPr>
      </w:pPr>
      <w:r w:rsidRPr="00C64271">
        <w:rPr>
          <w:color w:val="auto"/>
          <w:u w:val="single"/>
        </w:rPr>
        <w:t>(3) "Person" includes any natural person, corporation, limited liability company, or partnership.</w:t>
      </w:r>
    </w:p>
    <w:p w14:paraId="6F90E76C" w14:textId="77777777" w:rsidR="00715DAA" w:rsidRPr="00C64271" w:rsidRDefault="00715DAA" w:rsidP="00715DAA">
      <w:pPr>
        <w:pStyle w:val="SectionBody"/>
        <w:rPr>
          <w:color w:val="auto"/>
          <w:u w:val="single"/>
        </w:rPr>
      </w:pPr>
      <w:r w:rsidRPr="00C64271">
        <w:rPr>
          <w:color w:val="auto"/>
          <w:u w:val="single"/>
        </w:rPr>
        <w:lastRenderedPageBreak/>
        <w:t>(4) "Qualified investment" means an investment to develop within a Tourism and Commercial Opportunity Zone of an amount equivalent to or greater than $250,000 for a period of 10 years - or, for the life of the financing of the development project, whichever is shorter:</w:t>
      </w:r>
    </w:p>
    <w:p w14:paraId="250B0FA6" w14:textId="048C0BD9" w:rsidR="00715DAA" w:rsidRPr="00C64271" w:rsidRDefault="00715DAA" w:rsidP="00715DAA">
      <w:pPr>
        <w:pStyle w:val="SectionBody"/>
        <w:rPr>
          <w:color w:val="auto"/>
          <w:u w:val="single"/>
        </w:rPr>
      </w:pPr>
      <w:r w:rsidRPr="00C64271">
        <w:rPr>
          <w:color w:val="auto"/>
          <w:u w:val="single"/>
        </w:rPr>
        <w:t xml:space="preserve">(A) A </w:t>
      </w:r>
      <w:r w:rsidR="004D0BA2" w:rsidRPr="00C64271">
        <w:rPr>
          <w:color w:val="auto"/>
          <w:u w:val="single"/>
        </w:rPr>
        <w:t>q</w:t>
      </w:r>
      <w:r w:rsidRPr="00C64271">
        <w:rPr>
          <w:color w:val="auto"/>
          <w:u w:val="single"/>
        </w:rPr>
        <w:t>ualified investment within a Tourism and Commercial Opportunity Zone may be a capital addition equivalent to or greater than $250,000 made to existing real property already present in the Tourism and Commercial Opportunity Zone as set forth in this article.</w:t>
      </w:r>
    </w:p>
    <w:p w14:paraId="34641F0F" w14:textId="2B6ECC37" w:rsidR="00715DAA" w:rsidRPr="00C64271" w:rsidRDefault="00715DAA" w:rsidP="00715DAA">
      <w:pPr>
        <w:pStyle w:val="SectionBody"/>
        <w:rPr>
          <w:color w:val="auto"/>
          <w:u w:val="single"/>
        </w:rPr>
      </w:pPr>
      <w:r w:rsidRPr="00C64271">
        <w:rPr>
          <w:color w:val="auto"/>
          <w:u w:val="single"/>
        </w:rPr>
        <w:t xml:space="preserve">(B) Any </w:t>
      </w:r>
      <w:r w:rsidR="004D0BA2" w:rsidRPr="00C64271">
        <w:rPr>
          <w:color w:val="auto"/>
          <w:u w:val="single"/>
        </w:rPr>
        <w:t>q</w:t>
      </w:r>
      <w:r w:rsidRPr="00C64271">
        <w:rPr>
          <w:color w:val="auto"/>
          <w:u w:val="single"/>
        </w:rPr>
        <w:t xml:space="preserve">ualified investment capital addition to existing real property of any existing tourism or commercial facility, for the construction, installation, or erection of improvements or additions to existing property shall qualify for the Tourism and Commercial Opportunity Zone tax and tax credit, but only to the extent of the taxpayer’s </w:t>
      </w:r>
      <w:r w:rsidR="004D0BA2" w:rsidRPr="00C64271">
        <w:rPr>
          <w:color w:val="auto"/>
          <w:u w:val="single"/>
        </w:rPr>
        <w:t>q</w:t>
      </w:r>
      <w:r w:rsidRPr="00C64271">
        <w:rPr>
          <w:color w:val="auto"/>
          <w:u w:val="single"/>
        </w:rPr>
        <w:t xml:space="preserve">ualified investment in the improvements or additions: </w:t>
      </w:r>
      <w:r w:rsidRPr="00C64271">
        <w:rPr>
          <w:i/>
          <w:iCs/>
          <w:color w:val="auto"/>
          <w:u w:val="single"/>
        </w:rPr>
        <w:t>Provided</w:t>
      </w:r>
      <w:r w:rsidRPr="00C64271">
        <w:rPr>
          <w:color w:val="auto"/>
          <w:u w:val="single"/>
        </w:rPr>
        <w:t xml:space="preserve">, That the state tax rate of the real and personal property for any existing tourism or commercial facility shall remain unchanged and may not drop below the existing as of the date of the </w:t>
      </w:r>
      <w:r w:rsidR="003903E5" w:rsidRPr="00C64271">
        <w:rPr>
          <w:color w:val="auto"/>
          <w:u w:val="single"/>
        </w:rPr>
        <w:t>qualified</w:t>
      </w:r>
      <w:r w:rsidRPr="00C64271">
        <w:rPr>
          <w:color w:val="auto"/>
          <w:u w:val="single"/>
        </w:rPr>
        <w:t xml:space="preserve"> investment capital addition. The purpose of this proviso is to ensure no adverse fiscal impact to existing tax revenues. </w:t>
      </w:r>
    </w:p>
    <w:p w14:paraId="00084E6E" w14:textId="73842253" w:rsidR="00715DAA" w:rsidRPr="00C64271" w:rsidRDefault="00715DAA" w:rsidP="00715DAA">
      <w:pPr>
        <w:pStyle w:val="SectionBody"/>
        <w:rPr>
          <w:color w:val="auto"/>
          <w:u w:val="single"/>
        </w:rPr>
      </w:pPr>
      <w:r w:rsidRPr="00C64271">
        <w:rPr>
          <w:color w:val="auto"/>
          <w:u w:val="single"/>
        </w:rPr>
        <w:t xml:space="preserve">(5) "State tax rate" is the </w:t>
      </w:r>
      <w:r w:rsidR="00005E82" w:rsidRPr="00C64271">
        <w:rPr>
          <w:rFonts w:cs="Arial"/>
          <w:color w:val="auto"/>
          <w:u w:val="single"/>
        </w:rPr>
        <w:t xml:space="preserve">division of taxation </w:t>
      </w:r>
      <w:r w:rsidRPr="00C64271">
        <w:rPr>
          <w:color w:val="auto"/>
          <w:u w:val="single"/>
        </w:rPr>
        <w:t>into four classes by the state constitution, defined as the following:</w:t>
      </w:r>
    </w:p>
    <w:p w14:paraId="59B58C7B" w14:textId="77777777" w:rsidR="00715DAA" w:rsidRPr="00C64271" w:rsidRDefault="00715DAA" w:rsidP="00715DAA">
      <w:pPr>
        <w:pStyle w:val="SectionBody"/>
        <w:rPr>
          <w:color w:val="auto"/>
          <w:u w:val="single"/>
        </w:rPr>
      </w:pPr>
      <w:r w:rsidRPr="00C64271">
        <w:rPr>
          <w:color w:val="auto"/>
          <w:u w:val="single"/>
        </w:rPr>
        <w:t>Class 1: Intangible personal property and certain personal property employed exclusively in agriculture.</w:t>
      </w:r>
    </w:p>
    <w:p w14:paraId="24DB1F35" w14:textId="77777777" w:rsidR="00715DAA" w:rsidRPr="00C64271" w:rsidRDefault="00715DAA" w:rsidP="00715DAA">
      <w:pPr>
        <w:pStyle w:val="SectionBody"/>
        <w:rPr>
          <w:color w:val="auto"/>
          <w:u w:val="single"/>
        </w:rPr>
      </w:pPr>
      <w:r w:rsidRPr="00C64271">
        <w:rPr>
          <w:color w:val="auto"/>
          <w:u w:val="single"/>
        </w:rPr>
        <w:t>Class 2: Owner-occupied residential property used exclusively for residential purposes and all farmland used for agricultural purposes by its owner or bona fide tenant.</w:t>
      </w:r>
    </w:p>
    <w:p w14:paraId="0548F12D" w14:textId="77777777" w:rsidR="00715DAA" w:rsidRPr="00C64271" w:rsidRDefault="00715DAA" w:rsidP="00715DAA">
      <w:pPr>
        <w:pStyle w:val="SectionBody"/>
        <w:rPr>
          <w:color w:val="auto"/>
          <w:u w:val="single"/>
        </w:rPr>
      </w:pPr>
      <w:r w:rsidRPr="00C64271">
        <w:rPr>
          <w:color w:val="auto"/>
          <w:u w:val="single"/>
        </w:rPr>
        <w:t>Class 3: All real and personal property situated outside a municipality that is not taxed in Class 1 or Class 2.</w:t>
      </w:r>
    </w:p>
    <w:p w14:paraId="5A58F24F" w14:textId="77777777" w:rsidR="00715DAA" w:rsidRPr="00C64271" w:rsidRDefault="00715DAA" w:rsidP="00715DAA">
      <w:pPr>
        <w:pStyle w:val="SectionBody"/>
        <w:rPr>
          <w:color w:val="auto"/>
          <w:u w:val="single"/>
        </w:rPr>
      </w:pPr>
      <w:r w:rsidRPr="00C64271">
        <w:rPr>
          <w:color w:val="auto"/>
          <w:u w:val="single"/>
        </w:rPr>
        <w:t>Class 4: All property situated inside a municipality that is not taxed in Class 1 or Class 2.</w:t>
      </w:r>
    </w:p>
    <w:p w14:paraId="2154ABEC" w14:textId="7E2B34D9" w:rsidR="00715DAA" w:rsidRPr="00C64271" w:rsidRDefault="00715DAA" w:rsidP="00715DAA">
      <w:pPr>
        <w:pStyle w:val="SectionBody"/>
        <w:rPr>
          <w:color w:val="auto"/>
          <w:u w:val="single"/>
        </w:rPr>
      </w:pPr>
      <w:r w:rsidRPr="00C64271">
        <w:rPr>
          <w:color w:val="auto"/>
          <w:u w:val="single"/>
        </w:rPr>
        <w:t xml:space="preserve">(6) "Tourism and Commercial Opportunity Zone Tax " means the Tourism and Commercial Opportunity Zone tax authorized by this article. Any </w:t>
      </w:r>
      <w:r w:rsidR="003903E5" w:rsidRPr="00C64271">
        <w:rPr>
          <w:color w:val="auto"/>
          <w:u w:val="single"/>
        </w:rPr>
        <w:t>q</w:t>
      </w:r>
      <w:r w:rsidRPr="00C64271">
        <w:rPr>
          <w:color w:val="auto"/>
          <w:u w:val="single"/>
        </w:rPr>
        <w:t xml:space="preserve">ualified investment within any Tourism and Commercial Opportunity Zone shall </w:t>
      </w:r>
      <w:bookmarkStart w:id="11" w:name="_Hlk125624620"/>
      <w:r w:rsidRPr="00C64271">
        <w:rPr>
          <w:color w:val="auto"/>
          <w:u w:val="single"/>
        </w:rPr>
        <w:t xml:space="preserve">be taxed in proportion to its value at a rate equivalent with </w:t>
      </w:r>
      <w:r w:rsidRPr="00C64271">
        <w:rPr>
          <w:color w:val="auto"/>
          <w:u w:val="single"/>
        </w:rPr>
        <w:lastRenderedPageBreak/>
        <w:t>the state Class 2 property rate for the period set forth in this article</w:t>
      </w:r>
      <w:bookmarkEnd w:id="11"/>
      <w:r w:rsidRPr="00C64271">
        <w:rPr>
          <w:color w:val="auto"/>
          <w:u w:val="single"/>
        </w:rPr>
        <w:t xml:space="preserve">. </w:t>
      </w:r>
    </w:p>
    <w:p w14:paraId="485453CD" w14:textId="692ECAA8" w:rsidR="00715DAA" w:rsidRPr="00C64271" w:rsidRDefault="00715DAA" w:rsidP="00715DAA">
      <w:pPr>
        <w:pStyle w:val="SectionBody"/>
        <w:rPr>
          <w:color w:val="auto"/>
          <w:u w:val="single"/>
        </w:rPr>
      </w:pPr>
      <w:r w:rsidRPr="00C64271">
        <w:rPr>
          <w:color w:val="auto"/>
          <w:u w:val="single"/>
        </w:rPr>
        <w:t xml:space="preserve">(7) "Tourism and Commercial Opportunity Zone Tax credit" means the dollar value of the sales tax that is collected by the </w:t>
      </w:r>
      <w:r w:rsidR="003903E5" w:rsidRPr="00C64271">
        <w:rPr>
          <w:color w:val="auto"/>
          <w:u w:val="single"/>
        </w:rPr>
        <w:t>qu</w:t>
      </w:r>
      <w:r w:rsidRPr="00C64271">
        <w:rPr>
          <w:color w:val="auto"/>
          <w:u w:val="single"/>
        </w:rPr>
        <w:t xml:space="preserve">alified investment establishment and remitted to the state after development which amount shall qualify as an offset tax credit from the state for the equivalent amount of corporate and/or personal income tax, as applicable, that the </w:t>
      </w:r>
      <w:r w:rsidR="003903E5" w:rsidRPr="00C64271">
        <w:rPr>
          <w:color w:val="auto"/>
          <w:u w:val="single"/>
        </w:rPr>
        <w:t>q</w:t>
      </w:r>
      <w:r w:rsidRPr="00C64271">
        <w:rPr>
          <w:color w:val="auto"/>
          <w:u w:val="single"/>
        </w:rPr>
        <w:t xml:space="preserve">ualified investment establishment would have had to pay for that development, as designated to the Tax Division, as allocated by the Secretary of Economic Development.  </w:t>
      </w:r>
    </w:p>
    <w:p w14:paraId="661FBBDB" w14:textId="77777777" w:rsidR="00715DAA" w:rsidRPr="00C64271" w:rsidRDefault="00715DAA" w:rsidP="00715DAA">
      <w:pPr>
        <w:pStyle w:val="SectionBody"/>
        <w:rPr>
          <w:color w:val="auto"/>
          <w:u w:val="single"/>
        </w:rPr>
      </w:pPr>
      <w:r w:rsidRPr="00C64271">
        <w:rPr>
          <w:color w:val="auto"/>
          <w:u w:val="single"/>
        </w:rPr>
        <w:t>(8) "Taxable year" means the tax year of the eligible taxpayer.</w:t>
      </w:r>
      <w:bookmarkStart w:id="12" w:name="_Hlk125126990"/>
    </w:p>
    <w:p w14:paraId="6A76BF56"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 xml:space="preserve">§11-13PP-4.  Effect of County or Municipal Authority Rejection of </w:t>
      </w:r>
      <w:bookmarkStart w:id="13" w:name="_Hlk132796492"/>
      <w:r w:rsidRPr="00C64271">
        <w:rPr>
          <w:color w:val="auto"/>
          <w:u w:val="single"/>
        </w:rPr>
        <w:t>Tourism and Commercial Opportunity Zone Designation</w:t>
      </w:r>
      <w:bookmarkEnd w:id="13"/>
      <w:r w:rsidRPr="00C64271">
        <w:rPr>
          <w:color w:val="auto"/>
          <w:u w:val="single"/>
        </w:rPr>
        <w:t>.</w:t>
      </w:r>
    </w:p>
    <w:p w14:paraId="68972CF7" w14:textId="17511AAA" w:rsidR="00715DAA" w:rsidRPr="00C64271" w:rsidRDefault="00715DAA" w:rsidP="00715DAA">
      <w:pPr>
        <w:pStyle w:val="SectionBody"/>
        <w:rPr>
          <w:color w:val="auto"/>
          <w:u w:val="single"/>
        </w:rPr>
      </w:pPr>
      <w:r w:rsidRPr="00C64271">
        <w:rPr>
          <w:rFonts w:cs="Arial"/>
          <w:color w:val="auto"/>
          <w:u w:val="single"/>
        </w:rPr>
        <w:t>County commissions or municipal authorities may reject a Tourism and Commercial Opportunity Zone designation approved by the selection panel of the Secretaries of Economic Development, Tourism</w:t>
      </w:r>
      <w:r w:rsidR="003903E5" w:rsidRPr="00C64271">
        <w:rPr>
          <w:rFonts w:cs="Arial"/>
          <w:color w:val="auto"/>
          <w:u w:val="single"/>
        </w:rPr>
        <w:t>,</w:t>
      </w:r>
      <w:r w:rsidRPr="00C64271">
        <w:rPr>
          <w:rFonts w:cs="Arial"/>
          <w:color w:val="auto"/>
          <w:u w:val="single"/>
        </w:rPr>
        <w:t xml:space="preserve"> and Commerce or their designees, but if they so reject, the county commission and/or municipality so rejecting shall be ineligible for consideration for Tourism and Commercial Opportunity Zone designations for a period of five (5) years following the date of rejection.</w:t>
      </w:r>
    </w:p>
    <w:p w14:paraId="0AA5010F"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§11-13PP-5.  Tourism and Commercial Opportunity Zone tax and tax credit.</w:t>
      </w:r>
    </w:p>
    <w:p w14:paraId="7726638E" w14:textId="1B12D0BD" w:rsidR="00715DAA" w:rsidRPr="00C64271" w:rsidRDefault="00715DAA" w:rsidP="00715DAA">
      <w:pPr>
        <w:pStyle w:val="SectionBody"/>
        <w:rPr>
          <w:color w:val="auto"/>
          <w:u w:val="single"/>
        </w:rPr>
      </w:pPr>
      <w:r w:rsidRPr="00C64271">
        <w:rPr>
          <w:color w:val="auto"/>
          <w:u w:val="single"/>
        </w:rPr>
        <w:t xml:space="preserve">(a) </w:t>
      </w:r>
      <w:r w:rsidRPr="00C64271">
        <w:rPr>
          <w:i/>
          <w:color w:val="auto"/>
          <w:u w:val="single"/>
        </w:rPr>
        <w:t>Separate Species and Class Tax allowed.</w:t>
      </w:r>
      <w:r w:rsidRPr="00C64271">
        <w:rPr>
          <w:color w:val="auto"/>
          <w:u w:val="single"/>
        </w:rPr>
        <w:t xml:space="preserve"> -- There shall be allowed to each eligible taxpayer in a Tourism and Commercial Opportunity Zone that creates or maintains a </w:t>
      </w:r>
      <w:r w:rsidR="003903E5" w:rsidRPr="00C64271">
        <w:rPr>
          <w:color w:val="auto"/>
          <w:u w:val="single"/>
        </w:rPr>
        <w:t>q</w:t>
      </w:r>
      <w:r w:rsidRPr="00C64271">
        <w:rPr>
          <w:color w:val="auto"/>
          <w:u w:val="single"/>
        </w:rPr>
        <w:t xml:space="preserve">ualified investment as business development in West Virginia a tax rate for the taxable year in which the investment was made and for a period of 10 years or for the life of the financing of the project, whichever is shorter, shall be taxed in proportion to its value at a rate equivalent of the state Class 2 property rate for the period set forth in this article: </w:t>
      </w:r>
      <w:bookmarkStart w:id="14" w:name="_Hlk132800037"/>
      <w:r w:rsidRPr="00C64271">
        <w:rPr>
          <w:i/>
          <w:iCs/>
          <w:color w:val="auto"/>
          <w:u w:val="single"/>
        </w:rPr>
        <w:t>Provided</w:t>
      </w:r>
      <w:r w:rsidRPr="00C64271">
        <w:rPr>
          <w:color w:val="auto"/>
          <w:u w:val="single"/>
        </w:rPr>
        <w:t xml:space="preserve">, That at the conclusion of the 10 year or life of financing period, the tract upon which the </w:t>
      </w:r>
      <w:r w:rsidR="001B0016" w:rsidRPr="00C64271">
        <w:rPr>
          <w:color w:val="auto"/>
          <w:u w:val="single"/>
        </w:rPr>
        <w:t>q</w:t>
      </w:r>
      <w:r w:rsidRPr="00C64271">
        <w:rPr>
          <w:color w:val="auto"/>
          <w:u w:val="single"/>
        </w:rPr>
        <w:t xml:space="preserve">ualified investment was made shall cease to be considered as included in the Tourism and Commercial Opportunity Zone and shall cease to have the separate species and class of property designation under law: </w:t>
      </w:r>
      <w:r w:rsidRPr="00C64271">
        <w:rPr>
          <w:i/>
          <w:iCs/>
          <w:color w:val="auto"/>
          <w:u w:val="single"/>
        </w:rPr>
        <w:t>Provided</w:t>
      </w:r>
      <w:r w:rsidR="0051643A" w:rsidRPr="00C64271">
        <w:rPr>
          <w:i/>
          <w:iCs/>
          <w:color w:val="auto"/>
          <w:u w:val="single"/>
        </w:rPr>
        <w:t>,</w:t>
      </w:r>
      <w:r w:rsidRPr="00C64271">
        <w:rPr>
          <w:i/>
          <w:iCs/>
          <w:color w:val="auto"/>
          <w:u w:val="single"/>
        </w:rPr>
        <w:t xml:space="preserve"> </w:t>
      </w:r>
      <w:r w:rsidR="0051643A" w:rsidRPr="00C64271">
        <w:rPr>
          <w:i/>
          <w:iCs/>
          <w:color w:val="auto"/>
          <w:u w:val="single"/>
        </w:rPr>
        <w:t>however</w:t>
      </w:r>
      <w:r w:rsidRPr="00C64271">
        <w:rPr>
          <w:i/>
          <w:iCs/>
          <w:color w:val="auto"/>
          <w:u w:val="single"/>
        </w:rPr>
        <w:t xml:space="preserve">, </w:t>
      </w:r>
      <w:r w:rsidRPr="00C64271">
        <w:rPr>
          <w:color w:val="auto"/>
          <w:u w:val="single"/>
        </w:rPr>
        <w:lastRenderedPageBreak/>
        <w:t xml:space="preserve">That for existing Class 3 or 4 property within any Tourism and Commercial Opportunity Zone, only new expansion or addition investments meeting the $250,000 or greater threshold shall qualify for the new tax rate, </w:t>
      </w:r>
      <w:bookmarkEnd w:id="14"/>
      <w:r w:rsidRPr="00C64271">
        <w:rPr>
          <w:color w:val="auto"/>
          <w:u w:val="single"/>
        </w:rPr>
        <w:t xml:space="preserve">and any existing footprint and assessment of Class 3 or 4 property within any Tourism and Commercial Opportunity Zone shall continue to be assessed at the Class 3 or 4 rate, as applicable. </w:t>
      </w:r>
      <w:bookmarkStart w:id="15" w:name="_Hlk132800301"/>
      <w:r w:rsidRPr="00C64271">
        <w:rPr>
          <w:color w:val="auto"/>
          <w:u w:val="single"/>
        </w:rPr>
        <w:t>The purpose of this proviso is to ensure that existing county or municipal tax revenues are not adversely impacted</w:t>
      </w:r>
      <w:bookmarkEnd w:id="15"/>
      <w:r w:rsidRPr="00C64271">
        <w:rPr>
          <w:color w:val="auto"/>
          <w:u w:val="single"/>
        </w:rPr>
        <w:t xml:space="preserve">.     </w:t>
      </w:r>
    </w:p>
    <w:bookmarkEnd w:id="12"/>
    <w:p w14:paraId="16C626E4" w14:textId="0FBF059B" w:rsidR="00715DAA" w:rsidRPr="00C64271" w:rsidRDefault="00715DAA" w:rsidP="00715DAA">
      <w:pPr>
        <w:pStyle w:val="SectionBody"/>
        <w:rPr>
          <w:color w:val="auto"/>
          <w:u w:val="single"/>
        </w:rPr>
      </w:pPr>
      <w:r w:rsidRPr="00C64271">
        <w:rPr>
          <w:color w:val="auto"/>
          <w:u w:val="single"/>
        </w:rPr>
        <w:t xml:space="preserve">(b) </w:t>
      </w:r>
      <w:r w:rsidRPr="00C64271">
        <w:rPr>
          <w:i/>
          <w:iCs/>
          <w:color w:val="auto"/>
          <w:u w:val="single"/>
        </w:rPr>
        <w:t>Sales tax credit allowed. --</w:t>
      </w:r>
      <w:r w:rsidRPr="00C64271">
        <w:rPr>
          <w:color w:val="auto"/>
          <w:u w:val="single"/>
        </w:rPr>
        <w:t xml:space="preserve"> There shall be allowed to each eligible taxpayer in a Tourism and Commercial Opportunity Zone that creates or maintains a </w:t>
      </w:r>
      <w:r w:rsidR="003903E5" w:rsidRPr="00C64271">
        <w:rPr>
          <w:color w:val="auto"/>
          <w:u w:val="single"/>
        </w:rPr>
        <w:t>q</w:t>
      </w:r>
      <w:r w:rsidRPr="00C64271">
        <w:rPr>
          <w:color w:val="auto"/>
          <w:u w:val="single"/>
        </w:rPr>
        <w:t xml:space="preserve">ualified investment as a business development in West Virginia, a qualified tax credit for the amount of the sales tax that is collected by the </w:t>
      </w:r>
      <w:r w:rsidR="003903E5" w:rsidRPr="00C64271">
        <w:rPr>
          <w:color w:val="auto"/>
          <w:u w:val="single"/>
        </w:rPr>
        <w:t>q</w:t>
      </w:r>
      <w:r w:rsidRPr="00C64271">
        <w:rPr>
          <w:color w:val="auto"/>
          <w:u w:val="single"/>
        </w:rPr>
        <w:t xml:space="preserve">ualified investment establishment and remitted to the state after development which may be taken by the taxpayer as an offset tax credit from the state for the equivalent amount of income tax that the </w:t>
      </w:r>
      <w:r w:rsidR="003903E5" w:rsidRPr="00C64271">
        <w:rPr>
          <w:color w:val="auto"/>
          <w:u w:val="single"/>
        </w:rPr>
        <w:t>q</w:t>
      </w:r>
      <w:r w:rsidRPr="00C64271">
        <w:rPr>
          <w:color w:val="auto"/>
          <w:u w:val="single"/>
        </w:rPr>
        <w:t xml:space="preserve">ualified investment establishment would have had to pay for that development, as designated to the Tax Division by the Secretary of Economic Development: </w:t>
      </w:r>
      <w:r w:rsidRPr="00C64271">
        <w:rPr>
          <w:i/>
          <w:iCs/>
          <w:color w:val="auto"/>
          <w:u w:val="single"/>
        </w:rPr>
        <w:t>Provided</w:t>
      </w:r>
      <w:r w:rsidRPr="00C64271">
        <w:rPr>
          <w:color w:val="auto"/>
          <w:u w:val="single"/>
        </w:rPr>
        <w:t xml:space="preserve">, That for existing Class 3 or 4 property within any Tourism and Commercial Opportunity Zone which has had new expansion or addition investments meeting the $250,000 or greater threshold, only sales revenue generated above that generated in the last tax year prior to the </w:t>
      </w:r>
      <w:r w:rsidR="003903E5" w:rsidRPr="00C64271">
        <w:rPr>
          <w:color w:val="auto"/>
          <w:u w:val="single"/>
        </w:rPr>
        <w:t>q</w:t>
      </w:r>
      <w:r w:rsidRPr="00C64271">
        <w:rPr>
          <w:color w:val="auto"/>
          <w:u w:val="single"/>
        </w:rPr>
        <w:t>ualified investment expansion or addition shall be eligible for the sales tax credit. The purpose of this proviso is to ensure no adverse fiscal impact to existing tax revenues.</w:t>
      </w:r>
    </w:p>
    <w:p w14:paraId="4ACEA64F" w14:textId="77777777" w:rsidR="00715DAA" w:rsidRPr="00C64271" w:rsidRDefault="00715DAA" w:rsidP="00715DAA">
      <w:pPr>
        <w:pStyle w:val="SectionBody"/>
        <w:rPr>
          <w:color w:val="auto"/>
          <w:u w:val="single"/>
        </w:rPr>
      </w:pPr>
      <w:r w:rsidRPr="00C64271">
        <w:rPr>
          <w:color w:val="auto"/>
          <w:u w:val="single"/>
        </w:rPr>
        <w:t>(1) No more than $1 million of the sales tax credits allowed under this section shall be allocated by the Secretary of the Department of Economic Development during any fiscal year. The Department of Economic Development shall allocate the tax credits in the order the applications therefor are received.</w:t>
      </w:r>
    </w:p>
    <w:p w14:paraId="74CF085A" w14:textId="6B1ED80F" w:rsidR="00715DAA" w:rsidRPr="00C64271" w:rsidRDefault="00715DAA" w:rsidP="00715DAA">
      <w:pPr>
        <w:pStyle w:val="SectionBody"/>
        <w:rPr>
          <w:color w:val="auto"/>
          <w:u w:val="single"/>
        </w:rPr>
      </w:pPr>
      <w:r w:rsidRPr="00C64271">
        <w:rPr>
          <w:color w:val="auto"/>
          <w:u w:val="single"/>
        </w:rPr>
        <w:t xml:space="preserve">(2) The sales tax credit may be taken by the individual taxpayer, or the corporate taxpayer, of the </w:t>
      </w:r>
      <w:r w:rsidR="003903E5" w:rsidRPr="00C64271">
        <w:rPr>
          <w:color w:val="auto"/>
          <w:u w:val="single"/>
        </w:rPr>
        <w:t>q</w:t>
      </w:r>
      <w:r w:rsidRPr="00C64271">
        <w:rPr>
          <w:color w:val="auto"/>
          <w:u w:val="single"/>
        </w:rPr>
        <w:t xml:space="preserve">ualified investment, as applicable. </w:t>
      </w:r>
    </w:p>
    <w:p w14:paraId="458054DD" w14:textId="05083CFB" w:rsidR="00715DAA" w:rsidRPr="00C64271" w:rsidRDefault="00715DAA" w:rsidP="00715DAA">
      <w:pPr>
        <w:pStyle w:val="SectionBody"/>
        <w:rPr>
          <w:color w:val="auto"/>
          <w:u w:val="single"/>
        </w:rPr>
      </w:pPr>
      <w:r w:rsidRPr="00C64271">
        <w:rPr>
          <w:color w:val="auto"/>
          <w:u w:val="single"/>
        </w:rPr>
        <w:t xml:space="preserve">(A) If the eligible taxpayer is a limited liability company, an electing small business corporation (as defined in section 1361 of the United States Internal Revenue Code of 1986, as </w:t>
      </w:r>
      <w:r w:rsidRPr="00C64271">
        <w:rPr>
          <w:color w:val="auto"/>
          <w:u w:val="single"/>
        </w:rPr>
        <w:lastRenderedPageBreak/>
        <w:t xml:space="preserve">amended), or a partnership, any unused sales tax credit remaining after application of the tax credit to corporate net income taxes, is allowed as a tax credit against the taxes imposed by §11-21-1 </w:t>
      </w:r>
      <w:r w:rsidRPr="00C64271">
        <w:rPr>
          <w:i/>
          <w:iCs/>
          <w:color w:val="auto"/>
          <w:u w:val="single"/>
        </w:rPr>
        <w:t>et seq.</w:t>
      </w:r>
      <w:r w:rsidRPr="00C64271">
        <w:rPr>
          <w:color w:val="auto"/>
          <w:u w:val="single"/>
        </w:rPr>
        <w:t xml:space="preserve"> on owners of the eligible taxpayer.</w:t>
      </w:r>
    </w:p>
    <w:p w14:paraId="674478FA" w14:textId="77777777" w:rsidR="00715DAA" w:rsidRPr="00C64271" w:rsidRDefault="00715DAA" w:rsidP="00715DAA">
      <w:pPr>
        <w:pStyle w:val="SectionBody"/>
        <w:rPr>
          <w:color w:val="auto"/>
          <w:u w:val="single"/>
        </w:rPr>
      </w:pPr>
      <w:r w:rsidRPr="00C64271">
        <w:rPr>
          <w:color w:val="auto"/>
          <w:u w:val="single"/>
        </w:rPr>
        <w:t>(B) Electing small business corporations (as defined above), limited liability companies, and partnerships shall allocate the tax credit allowed by this article among their members in the same manner as profits and losses are allocated for the taxable year.</w:t>
      </w:r>
    </w:p>
    <w:p w14:paraId="48E1EEBA" w14:textId="77777777" w:rsidR="00715DAA" w:rsidRPr="00C64271" w:rsidRDefault="00715DAA" w:rsidP="00715DAA">
      <w:pPr>
        <w:pStyle w:val="SectionBody"/>
        <w:rPr>
          <w:color w:val="auto"/>
          <w:u w:val="single"/>
        </w:rPr>
      </w:pPr>
      <w:r w:rsidRPr="00C64271">
        <w:rPr>
          <w:color w:val="auto"/>
          <w:u w:val="single"/>
        </w:rPr>
        <w:t xml:space="preserve">(3) </w:t>
      </w:r>
      <w:r w:rsidRPr="00C64271">
        <w:rPr>
          <w:i/>
          <w:color w:val="auto"/>
          <w:u w:val="single"/>
        </w:rPr>
        <w:t>Unused sales tax credit carry forward.</w:t>
      </w:r>
      <w:r w:rsidRPr="00C64271">
        <w:rPr>
          <w:color w:val="auto"/>
          <w:u w:val="single"/>
        </w:rPr>
        <w:t xml:space="preserve"> -- If the sales tax credit allowed under this article in any taxable year exceeds the sum of the taxes enumerated in this section for that taxable year, the eligible taxpayer or owners of eligible taxpayers described in this section may apply the excess as a tax credit against those taxes, in the order and manner stated in this section, for succeeding taxable years until the earlier of the following:</w:t>
      </w:r>
    </w:p>
    <w:p w14:paraId="1E904298" w14:textId="77777777" w:rsidR="00715DAA" w:rsidRPr="00C64271" w:rsidRDefault="00715DAA" w:rsidP="00715DAA">
      <w:pPr>
        <w:pStyle w:val="SectionBody"/>
        <w:rPr>
          <w:color w:val="auto"/>
          <w:u w:val="single"/>
        </w:rPr>
      </w:pPr>
      <w:r w:rsidRPr="00C64271">
        <w:rPr>
          <w:color w:val="auto"/>
          <w:u w:val="single"/>
        </w:rPr>
        <w:t>(A) The full amount of the excess tax credit is used; or</w:t>
      </w:r>
    </w:p>
    <w:p w14:paraId="1F577FB6" w14:textId="67D8DADD" w:rsidR="00715DAA" w:rsidRPr="00C64271" w:rsidRDefault="00715DAA" w:rsidP="00715DAA">
      <w:pPr>
        <w:pStyle w:val="SectionBody"/>
        <w:rPr>
          <w:color w:val="auto"/>
          <w:u w:val="single"/>
        </w:rPr>
      </w:pPr>
      <w:r w:rsidRPr="00C64271">
        <w:rPr>
          <w:color w:val="auto"/>
          <w:u w:val="single"/>
        </w:rPr>
        <w:t xml:space="preserve">(B) The expiration of the fifteenth taxable year after the taxable year in which the </w:t>
      </w:r>
      <w:r w:rsidR="003903E5" w:rsidRPr="00C64271">
        <w:rPr>
          <w:color w:val="auto"/>
          <w:u w:val="single"/>
        </w:rPr>
        <w:t>q</w:t>
      </w:r>
      <w:r w:rsidRPr="00C64271">
        <w:rPr>
          <w:color w:val="auto"/>
          <w:u w:val="single"/>
        </w:rPr>
        <w:t xml:space="preserve">ualified investment was made: </w:t>
      </w:r>
      <w:r w:rsidRPr="00C64271">
        <w:rPr>
          <w:i/>
          <w:iCs/>
          <w:color w:val="auto"/>
          <w:u w:val="single"/>
        </w:rPr>
        <w:t>Provided</w:t>
      </w:r>
      <w:r w:rsidRPr="00C64271">
        <w:rPr>
          <w:color w:val="auto"/>
          <w:u w:val="single"/>
        </w:rPr>
        <w:t xml:space="preserve">, That upon the expiration of the tenth taxable year after the taxable year in which the investment was made, no further accrual of sales tax credit may be claimed, but any unused residual credit balance accrued as of the tenth year, may continue to be claimed until the full amount is used or the expiration of the fifteenth taxable year post </w:t>
      </w:r>
      <w:r w:rsidR="003903E5" w:rsidRPr="00C64271">
        <w:rPr>
          <w:color w:val="auto"/>
          <w:u w:val="single"/>
        </w:rPr>
        <w:t>q</w:t>
      </w:r>
      <w:r w:rsidRPr="00C64271">
        <w:rPr>
          <w:color w:val="auto"/>
          <w:u w:val="single"/>
        </w:rPr>
        <w:t>ualified investment. The tax credit remaining thereafter is forfeited.</w:t>
      </w:r>
    </w:p>
    <w:p w14:paraId="7ACB2F52" w14:textId="77777777" w:rsidR="00715DAA" w:rsidRPr="00C64271" w:rsidRDefault="00715DAA" w:rsidP="00715DAA">
      <w:pPr>
        <w:pStyle w:val="SectionBody"/>
        <w:rPr>
          <w:color w:val="auto"/>
          <w:u w:val="single"/>
        </w:rPr>
      </w:pPr>
      <w:bookmarkStart w:id="16" w:name="_Hlk95989616"/>
      <w:r w:rsidRPr="00C64271">
        <w:rPr>
          <w:color w:val="auto"/>
          <w:u w:val="single"/>
        </w:rPr>
        <w:t>(4) No tax credit is allowed or may be applied under this article until the taxpayer seeking to claim the tax credit has:</w:t>
      </w:r>
    </w:p>
    <w:p w14:paraId="5FE3648F" w14:textId="77777777" w:rsidR="00715DAA" w:rsidRPr="00C64271" w:rsidRDefault="00715DAA" w:rsidP="00715DAA">
      <w:pPr>
        <w:pStyle w:val="SectionBody"/>
        <w:rPr>
          <w:color w:val="auto"/>
          <w:u w:val="single"/>
        </w:rPr>
      </w:pPr>
      <w:r w:rsidRPr="00C64271">
        <w:rPr>
          <w:color w:val="auto"/>
          <w:u w:val="single"/>
        </w:rPr>
        <w:t>(A) Filed with the Department of Economic Development a written application for the tax credit;</w:t>
      </w:r>
    </w:p>
    <w:p w14:paraId="3195A0E2" w14:textId="164343A9" w:rsidR="00715DAA" w:rsidRPr="00C64271" w:rsidRDefault="00715DAA" w:rsidP="00715DAA">
      <w:pPr>
        <w:pStyle w:val="SectionBody"/>
        <w:rPr>
          <w:color w:val="auto"/>
          <w:u w:val="single"/>
        </w:rPr>
      </w:pPr>
      <w:r w:rsidRPr="00C64271">
        <w:rPr>
          <w:color w:val="auto"/>
          <w:u w:val="single"/>
        </w:rPr>
        <w:t>(B) Filed with the Department of Economic Development the research and development program or project certification issued pursuant to §11-13R-6 for the Tourism and Commercial Opportunity Zone company that will benefit from the investment;</w:t>
      </w:r>
    </w:p>
    <w:bookmarkEnd w:id="16"/>
    <w:p w14:paraId="5449DD42" w14:textId="77777777" w:rsidR="00715DAA" w:rsidRPr="00C64271" w:rsidRDefault="00715DAA" w:rsidP="00715DAA">
      <w:pPr>
        <w:pStyle w:val="SectionBody"/>
        <w:rPr>
          <w:color w:val="auto"/>
          <w:u w:val="single"/>
        </w:rPr>
      </w:pPr>
      <w:r w:rsidRPr="00C64271">
        <w:rPr>
          <w:color w:val="auto"/>
          <w:u w:val="single"/>
        </w:rPr>
        <w:t xml:space="preserve">(C) Filed with the Department of Economic Development the certificate of incorporation </w:t>
      </w:r>
      <w:r w:rsidRPr="00C64271">
        <w:rPr>
          <w:color w:val="auto"/>
          <w:u w:val="single"/>
        </w:rPr>
        <w:lastRenderedPageBreak/>
        <w:t>for the Tourism and Commercial Opportunity Zone company that will benefit from the investment; and</w:t>
      </w:r>
    </w:p>
    <w:p w14:paraId="30BA210B" w14:textId="77777777" w:rsidR="00715DAA" w:rsidRPr="00C64271" w:rsidRDefault="00715DAA" w:rsidP="00715DAA">
      <w:pPr>
        <w:pStyle w:val="SectionBody"/>
        <w:rPr>
          <w:color w:val="auto"/>
          <w:u w:val="single"/>
        </w:rPr>
      </w:pPr>
      <w:r w:rsidRPr="00C64271">
        <w:rPr>
          <w:color w:val="auto"/>
          <w:u w:val="single"/>
        </w:rPr>
        <w:t>(D) Received from the Department of Economic Development a written certification of the amount of tax credit to be allocated to the eligible taxpayer.</w:t>
      </w:r>
    </w:p>
    <w:p w14:paraId="6F926455"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§11-13PP-6. Restrictions on investment.</w:t>
      </w:r>
    </w:p>
    <w:p w14:paraId="5E1FF9B4" w14:textId="675A99A0" w:rsidR="00715DAA" w:rsidRPr="00C64271" w:rsidRDefault="00715DAA" w:rsidP="00715DAA">
      <w:pPr>
        <w:pStyle w:val="SectionBody"/>
        <w:rPr>
          <w:rFonts w:cs="Arial"/>
          <w:color w:val="auto"/>
          <w:u w:val="single"/>
        </w:rPr>
      </w:pPr>
      <w:r w:rsidRPr="00C64271">
        <w:rPr>
          <w:rFonts w:cs="Arial"/>
          <w:color w:val="auto"/>
          <w:u w:val="single"/>
        </w:rPr>
        <w:t xml:space="preserve">(a) No Tourism and Commercial Opportunity Zone development or </w:t>
      </w:r>
      <w:r w:rsidR="003903E5" w:rsidRPr="00C64271">
        <w:rPr>
          <w:rFonts w:cs="Arial"/>
          <w:color w:val="auto"/>
          <w:u w:val="single"/>
        </w:rPr>
        <w:t>q</w:t>
      </w:r>
      <w:r w:rsidRPr="00C64271">
        <w:rPr>
          <w:rFonts w:cs="Arial"/>
          <w:color w:val="auto"/>
          <w:u w:val="single"/>
        </w:rPr>
        <w:t>ualified investment may be made in a TIF district.</w:t>
      </w:r>
    </w:p>
    <w:p w14:paraId="0BBB4CBB" w14:textId="77777777" w:rsidR="00715DAA" w:rsidRPr="00C64271" w:rsidRDefault="00715DAA" w:rsidP="00715DAA">
      <w:pPr>
        <w:pStyle w:val="SectionBody"/>
        <w:rPr>
          <w:rFonts w:cs="Arial"/>
          <w:color w:val="auto"/>
          <w:u w:val="single"/>
        </w:rPr>
      </w:pPr>
      <w:r w:rsidRPr="00C64271">
        <w:rPr>
          <w:rFonts w:cs="Arial"/>
          <w:color w:val="auto"/>
          <w:u w:val="single"/>
        </w:rPr>
        <w:t>(b) No Tourism and Commercial Opportunity Zone development or investment may be made in a Tourism and Commercial Opportunity Zone development company that is the alter ego of the eligible taxpayer.</w:t>
      </w:r>
    </w:p>
    <w:p w14:paraId="2B7B4959" w14:textId="77777777" w:rsidR="00715DAA" w:rsidRPr="00C64271" w:rsidRDefault="00715DAA" w:rsidP="00715DAA">
      <w:pPr>
        <w:pStyle w:val="SectionBody"/>
        <w:rPr>
          <w:rFonts w:cs="Arial"/>
          <w:color w:val="auto"/>
          <w:u w:val="single"/>
        </w:rPr>
      </w:pPr>
      <w:r w:rsidRPr="00C64271">
        <w:rPr>
          <w:rFonts w:cs="Arial"/>
          <w:color w:val="auto"/>
          <w:u w:val="single"/>
        </w:rPr>
        <w:t xml:space="preserve">(c) The eligible taxpayer shall maintain its Tourism and Commercial Opportunity Zone development or investment for a minimum period of 10 years or the life of the loan whichever period is shorter: </w:t>
      </w:r>
      <w:r w:rsidRPr="00C64271">
        <w:rPr>
          <w:rFonts w:cs="Arial"/>
          <w:i/>
          <w:iCs/>
          <w:color w:val="auto"/>
          <w:u w:val="single"/>
        </w:rPr>
        <w:t>Provided</w:t>
      </w:r>
      <w:r w:rsidRPr="00C64271">
        <w:rPr>
          <w:rFonts w:cs="Arial"/>
          <w:color w:val="auto"/>
          <w:u w:val="single"/>
        </w:rPr>
        <w:t xml:space="preserve">, That an eligible taxpayer receiving repayment or return of a Tourism and Commercial Opportunity Zone development or investment (exclusive of interest, dividends, or other earnings on the investment) shall, within three calendar months from the date of repayment or return, reinvest the repaid or returned amount of the initial investment in another Tourism and Commercial Opportunity Zone development company for a period of time at least equal to the remainder of the initial 10 year term and continue to be taxed and claim the tax credits as set forth in this article up to the amount of the reinvestment for the remainder of the ten year period or life of the loan, </w:t>
      </w:r>
      <w:bookmarkStart w:id="17" w:name="_Hlk132800882"/>
      <w:r w:rsidRPr="00C64271">
        <w:rPr>
          <w:rFonts w:cs="Arial"/>
          <w:color w:val="auto"/>
          <w:u w:val="single"/>
        </w:rPr>
        <w:t>whichever period is shorter</w:t>
      </w:r>
      <w:bookmarkEnd w:id="17"/>
      <w:r w:rsidRPr="00C64271">
        <w:rPr>
          <w:rFonts w:cs="Arial"/>
          <w:color w:val="auto"/>
          <w:u w:val="single"/>
        </w:rPr>
        <w:t>.</w:t>
      </w:r>
    </w:p>
    <w:p w14:paraId="33B9A3A4" w14:textId="7E3BC6AF" w:rsidR="00715DAA" w:rsidRPr="00C64271" w:rsidRDefault="00715DAA" w:rsidP="00715DAA">
      <w:pPr>
        <w:pStyle w:val="SectionBody"/>
        <w:rPr>
          <w:rFonts w:cs="Arial"/>
          <w:color w:val="auto"/>
          <w:u w:val="single"/>
        </w:rPr>
      </w:pPr>
      <w:r w:rsidRPr="00C64271">
        <w:rPr>
          <w:rFonts w:cs="Arial"/>
          <w:color w:val="auto"/>
          <w:u w:val="single"/>
        </w:rPr>
        <w:t xml:space="preserve">(d) If an eligible taxpayer sells the property subject to the </w:t>
      </w:r>
      <w:r w:rsidR="003903E5" w:rsidRPr="00C64271">
        <w:rPr>
          <w:rFonts w:cs="Arial"/>
          <w:color w:val="auto"/>
          <w:u w:val="single"/>
        </w:rPr>
        <w:t>q</w:t>
      </w:r>
      <w:r w:rsidRPr="00C64271">
        <w:rPr>
          <w:rFonts w:cs="Arial"/>
          <w:color w:val="auto"/>
          <w:u w:val="single"/>
        </w:rPr>
        <w:t xml:space="preserve">ualified investment to a bona fide purchaser for value, the Tourism and Commercial Opportunity Zone Tax and </w:t>
      </w:r>
      <w:r w:rsidRPr="00C64271">
        <w:rPr>
          <w:color w:val="auto"/>
          <w:u w:val="single"/>
        </w:rPr>
        <w:t xml:space="preserve">Tax Credit for such property shall pass to the bona fide purchaser for value, but shall be limited to solely to the seller’s 10 year term, or the </w:t>
      </w:r>
      <w:r w:rsidRPr="00C64271">
        <w:rPr>
          <w:rFonts w:cs="Arial"/>
          <w:color w:val="auto"/>
          <w:u w:val="single"/>
        </w:rPr>
        <w:t xml:space="preserve">remainder of the seller’s 10 year term, regardless of the period of any financing for the purchase acquired by the bona fide purchaser for value. </w:t>
      </w:r>
      <w:r w:rsidRPr="00C64271">
        <w:rPr>
          <w:color w:val="auto"/>
          <w:u w:val="single"/>
        </w:rPr>
        <w:t xml:space="preserve"> </w:t>
      </w:r>
      <w:r w:rsidRPr="00C64271">
        <w:rPr>
          <w:rFonts w:cs="Arial"/>
          <w:color w:val="auto"/>
          <w:u w:val="single"/>
        </w:rPr>
        <w:t xml:space="preserve">   </w:t>
      </w:r>
    </w:p>
    <w:p w14:paraId="73C788EA"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§11-13PP-7. Penalty.</w:t>
      </w:r>
    </w:p>
    <w:p w14:paraId="48DC7E01" w14:textId="4AC45B4C" w:rsidR="00715DAA" w:rsidRPr="00C64271" w:rsidRDefault="00715DAA" w:rsidP="00715DAA">
      <w:pPr>
        <w:pStyle w:val="SectionBody"/>
        <w:rPr>
          <w:color w:val="auto"/>
          <w:u w:val="single"/>
        </w:rPr>
      </w:pPr>
      <w:r w:rsidRPr="00C64271">
        <w:rPr>
          <w:color w:val="auto"/>
          <w:u w:val="single"/>
        </w:rPr>
        <w:lastRenderedPageBreak/>
        <w:t xml:space="preserve">An eligible taxpayer that fails to maintain a Tourism and Commercial Opportunity Zone development </w:t>
      </w:r>
      <w:r w:rsidR="003903E5" w:rsidRPr="00C64271">
        <w:rPr>
          <w:color w:val="auto"/>
          <w:u w:val="single"/>
        </w:rPr>
        <w:t>q</w:t>
      </w:r>
      <w:r w:rsidRPr="00C64271">
        <w:rPr>
          <w:color w:val="auto"/>
          <w:u w:val="single"/>
        </w:rPr>
        <w:t>ualified investment for the required period of time stated in section six of this article shall pay to the State Tax Commissioner a penalty equal to all of the tax credits asserted under this article by the eligible taxpayer with interest, calculated at the rate set forth in §11-10-17a,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4DDAD616" w14:textId="77777777" w:rsidR="00715DAA" w:rsidRPr="00C64271" w:rsidRDefault="00715DAA" w:rsidP="00715DAA">
      <w:pPr>
        <w:pStyle w:val="SectionHeading"/>
        <w:rPr>
          <w:color w:val="auto"/>
          <w:u w:val="single"/>
        </w:rPr>
        <w:sectPr w:rsidR="00715DAA" w:rsidRPr="00C64271" w:rsidSect="00B10116">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§11-13PP-8. Disclosure of tax credits.</w:t>
      </w:r>
    </w:p>
    <w:p w14:paraId="5F53EF25" w14:textId="77777777" w:rsidR="00715DAA" w:rsidRPr="00C64271" w:rsidRDefault="00715DAA" w:rsidP="00715DAA">
      <w:pPr>
        <w:pStyle w:val="SectionBody"/>
        <w:rPr>
          <w:color w:val="auto"/>
          <w:u w:val="single"/>
        </w:rPr>
      </w:pPr>
      <w:r w:rsidRPr="00C64271">
        <w:rPr>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320A4086"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§11-13PP-9. Tax credit review and accountability.</w:t>
      </w:r>
    </w:p>
    <w:p w14:paraId="4E5A259A" w14:textId="349664B3" w:rsidR="00715DAA" w:rsidRPr="00C64271" w:rsidRDefault="00715DAA" w:rsidP="00715DAA">
      <w:pPr>
        <w:pStyle w:val="SectionBody"/>
        <w:rPr>
          <w:color w:val="auto"/>
          <w:u w:val="single"/>
        </w:rPr>
      </w:pPr>
      <w:r w:rsidRPr="00C64271">
        <w:rPr>
          <w:color w:val="auto"/>
          <w:u w:val="single"/>
        </w:rPr>
        <w:t>(a) Beginning on February 1, 2026, and on February 1 every third year thereafter, the Tax Commissioner shall submit to the Governor, the President of the Senate</w:t>
      </w:r>
      <w:r w:rsidR="003903E5" w:rsidRPr="00C64271">
        <w:rPr>
          <w:color w:val="auto"/>
          <w:u w:val="single"/>
        </w:rPr>
        <w:t>,</w:t>
      </w:r>
      <w:r w:rsidRPr="00C64271">
        <w:rPr>
          <w:color w:val="auto"/>
          <w:u w:val="single"/>
        </w:rPr>
        <w:t xml:space="preserve"> and the Speaker of the House of Delegates a tax credit review and accountability report evaluating the cost effectiveness of the tax and tax credit allowed under this article during the most recent three-year period for which information is available: </w:t>
      </w:r>
      <w:r w:rsidRPr="00C64271">
        <w:rPr>
          <w:i/>
          <w:color w:val="auto"/>
          <w:u w:val="single"/>
        </w:rPr>
        <w:t>Provided,</w:t>
      </w:r>
      <w:r w:rsidRPr="00C64271">
        <w:rPr>
          <w:color w:val="auto"/>
          <w:u w:val="single"/>
        </w:rPr>
        <w:t xml:space="preserve"> That the requirement to file the credit review and accountability report terminates June 30, 2032, unless the termination of entitlement to the tax credit as stated in section ten of this article terminates. The criteria to be evaluated includes, but is not limited to, for each year of the three-year period:</w:t>
      </w:r>
    </w:p>
    <w:p w14:paraId="73616560" w14:textId="77777777" w:rsidR="00715DAA" w:rsidRPr="00C64271" w:rsidRDefault="00715DAA" w:rsidP="00715DAA">
      <w:pPr>
        <w:pStyle w:val="SectionBody"/>
        <w:rPr>
          <w:color w:val="auto"/>
          <w:u w:val="single"/>
        </w:rPr>
      </w:pPr>
      <w:r w:rsidRPr="00C64271">
        <w:rPr>
          <w:color w:val="auto"/>
          <w:u w:val="single"/>
        </w:rPr>
        <w:t>(1) The numbers of eligible taxpayers claiming the tax credit;</w:t>
      </w:r>
    </w:p>
    <w:p w14:paraId="7A7B0B4F" w14:textId="77777777" w:rsidR="00715DAA" w:rsidRPr="00C64271" w:rsidRDefault="00715DAA" w:rsidP="00715DAA">
      <w:pPr>
        <w:pStyle w:val="SectionBody"/>
        <w:rPr>
          <w:color w:val="auto"/>
          <w:u w:val="single"/>
        </w:rPr>
      </w:pPr>
      <w:r w:rsidRPr="00C64271">
        <w:rPr>
          <w:color w:val="auto"/>
          <w:u w:val="single"/>
        </w:rPr>
        <w:t>(2) The net number, type, and duration of new jobs created by all Tourism and Commercial Opportunity Zone companies in which taxpayers claiming the credit made investment in and the wages and benefits paid by such companies;</w:t>
      </w:r>
    </w:p>
    <w:p w14:paraId="5D6DC438" w14:textId="77777777" w:rsidR="00715DAA" w:rsidRPr="00C64271" w:rsidRDefault="00715DAA" w:rsidP="00715DAA">
      <w:pPr>
        <w:pStyle w:val="SectionBody"/>
        <w:rPr>
          <w:color w:val="auto"/>
          <w:u w:val="single"/>
        </w:rPr>
      </w:pPr>
      <w:r w:rsidRPr="00C64271">
        <w:rPr>
          <w:color w:val="auto"/>
          <w:u w:val="single"/>
        </w:rPr>
        <w:lastRenderedPageBreak/>
        <w:t>(3) The cost of the tax credit;</w:t>
      </w:r>
    </w:p>
    <w:p w14:paraId="570D6F2F" w14:textId="77777777" w:rsidR="00715DAA" w:rsidRPr="00C64271" w:rsidRDefault="00715DAA" w:rsidP="00715DAA">
      <w:pPr>
        <w:pStyle w:val="SectionBody"/>
        <w:rPr>
          <w:color w:val="auto"/>
          <w:u w:val="single"/>
        </w:rPr>
      </w:pPr>
      <w:r w:rsidRPr="00C64271">
        <w:rPr>
          <w:color w:val="auto"/>
          <w:u w:val="single"/>
        </w:rPr>
        <w:t>(4) The cost of the tax credit per new job created; and</w:t>
      </w:r>
    </w:p>
    <w:p w14:paraId="396F4BEB" w14:textId="77777777" w:rsidR="00715DAA" w:rsidRPr="00C64271" w:rsidRDefault="00715DAA" w:rsidP="00715DAA">
      <w:pPr>
        <w:pStyle w:val="SectionBody"/>
        <w:rPr>
          <w:color w:val="auto"/>
          <w:u w:val="single"/>
        </w:rPr>
      </w:pPr>
      <w:r w:rsidRPr="00C64271">
        <w:rPr>
          <w:color w:val="auto"/>
          <w:u w:val="single"/>
        </w:rPr>
        <w:t>(5) Comparison of employment trends for the industry and for taxpayers within the industry that claim the tax credit.</w:t>
      </w:r>
    </w:p>
    <w:p w14:paraId="7DC05B25" w14:textId="21350DCB" w:rsidR="00715DAA" w:rsidRPr="00C64271" w:rsidRDefault="00715DAA" w:rsidP="00715DAA">
      <w:pPr>
        <w:pStyle w:val="SectionBody"/>
        <w:rPr>
          <w:color w:val="auto"/>
          <w:u w:val="single"/>
        </w:rPr>
      </w:pPr>
      <w:r w:rsidRPr="00C64271">
        <w:rPr>
          <w:color w:val="auto"/>
          <w:u w:val="single"/>
        </w:rPr>
        <w:t xml:space="preserve">(b) Eligible taxpayers claiming the tax credit shall provide any information required by the Tax Commissioner for the purpose of preparing the report: </w:t>
      </w:r>
      <w:r w:rsidRPr="00C64271">
        <w:rPr>
          <w:i/>
          <w:iCs/>
          <w:color w:val="auto"/>
          <w:u w:val="single"/>
        </w:rPr>
        <w:t>Provided</w:t>
      </w:r>
      <w:r w:rsidRPr="00C64271">
        <w:rPr>
          <w:color w:val="auto"/>
          <w:u w:val="single"/>
        </w:rPr>
        <w:t>, That such information shall be subject to the confidentiality and disclosure provisions of §11-10-5d and §11-10-5s.</w:t>
      </w:r>
    </w:p>
    <w:p w14:paraId="5775A668"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§11-13PP-10. Rules.</w:t>
      </w:r>
    </w:p>
    <w:p w14:paraId="577DC94F" w14:textId="3B3F71E4" w:rsidR="00715DAA" w:rsidRPr="00C64271" w:rsidRDefault="00715DAA" w:rsidP="00715DAA">
      <w:pPr>
        <w:pStyle w:val="SectionBody"/>
        <w:rPr>
          <w:color w:val="auto"/>
          <w:u w:val="single"/>
        </w:rPr>
      </w:pPr>
      <w:r w:rsidRPr="00C64271">
        <w:rPr>
          <w:color w:val="auto"/>
          <w:u w:val="single"/>
        </w:rPr>
        <w:t xml:space="preserve">The Tax Division and the Department of Economic Development may promulgate rules in accordance with §29A-3-1 </w:t>
      </w:r>
      <w:r w:rsidRPr="00C64271">
        <w:rPr>
          <w:i/>
          <w:iCs/>
          <w:color w:val="auto"/>
          <w:u w:val="single"/>
        </w:rPr>
        <w:t xml:space="preserve">et seq. </w:t>
      </w:r>
      <w:r w:rsidRPr="00C64271">
        <w:rPr>
          <w:color w:val="auto"/>
          <w:u w:val="single"/>
        </w:rPr>
        <w:t>to carry out the policy and purposes of this article, to provide any necessary clarification of the provisions of this article and to efficiently provide for the general administration of this article.</w:t>
      </w:r>
    </w:p>
    <w:p w14:paraId="0FA0BA43" w14:textId="77777777" w:rsidR="00715DAA" w:rsidRPr="00C64271" w:rsidRDefault="00715DAA" w:rsidP="00715DAA">
      <w:pPr>
        <w:pStyle w:val="SectionHeading"/>
        <w:rPr>
          <w:color w:val="auto"/>
          <w:u w:val="single"/>
        </w:rPr>
        <w:sectPr w:rsidR="00715DAA" w:rsidRPr="00C64271" w:rsidSect="00B10116">
          <w:type w:val="continuous"/>
          <w:pgSz w:w="12240" w:h="15840" w:code="1"/>
          <w:pgMar w:top="1440" w:right="1440" w:bottom="1440" w:left="1440" w:header="720" w:footer="720" w:gutter="0"/>
          <w:lnNumType w:countBy="1" w:restart="newSection"/>
          <w:cols w:space="720"/>
          <w:titlePg/>
          <w:docGrid w:linePitch="360"/>
        </w:sectPr>
      </w:pPr>
      <w:r w:rsidRPr="00C64271">
        <w:rPr>
          <w:color w:val="auto"/>
          <w:u w:val="single"/>
        </w:rPr>
        <w:t>§11-13PP-11.  Effective date.</w:t>
      </w:r>
    </w:p>
    <w:p w14:paraId="241658A9" w14:textId="0FDD21FF" w:rsidR="00715DAA" w:rsidRPr="00C64271" w:rsidRDefault="00715DAA" w:rsidP="00715DAA">
      <w:pPr>
        <w:pStyle w:val="SectionBody"/>
        <w:rPr>
          <w:color w:val="auto"/>
          <w:u w:val="single"/>
        </w:rPr>
      </w:pPr>
      <w:r w:rsidRPr="00C64271">
        <w:rPr>
          <w:color w:val="auto"/>
          <w:u w:val="single"/>
        </w:rPr>
        <w:t>The provisions of this article will become effective on July 1, 202</w:t>
      </w:r>
      <w:r w:rsidR="00E41D53" w:rsidRPr="00C64271">
        <w:rPr>
          <w:color w:val="auto"/>
          <w:u w:val="single"/>
        </w:rPr>
        <w:t>5</w:t>
      </w:r>
      <w:r w:rsidRPr="00C64271">
        <w:rPr>
          <w:color w:val="auto"/>
          <w:u w:val="single"/>
        </w:rPr>
        <w:t>, and apply only to qualified investment/improvement made on or after that date.</w:t>
      </w:r>
    </w:p>
    <w:bookmarkEnd w:id="4"/>
    <w:p w14:paraId="08540757" w14:textId="77777777" w:rsidR="00715DAA" w:rsidRPr="00C64271" w:rsidRDefault="00715DAA" w:rsidP="00715DAA">
      <w:pPr>
        <w:pStyle w:val="References"/>
        <w:ind w:left="0"/>
        <w:jc w:val="both"/>
        <w:rPr>
          <w:color w:val="auto"/>
        </w:rPr>
      </w:pPr>
    </w:p>
    <w:p w14:paraId="1AAA5413" w14:textId="77777777" w:rsidR="00715DAA" w:rsidRPr="00C64271" w:rsidRDefault="00715DAA" w:rsidP="00715DAA">
      <w:pPr>
        <w:widowControl w:val="0"/>
        <w:suppressLineNumbers/>
        <w:spacing w:after="220" w:line="240" w:lineRule="auto"/>
        <w:ind w:left="720" w:right="720"/>
        <w:jc w:val="both"/>
        <w:rPr>
          <w:rFonts w:eastAsia="Calibri"/>
          <w:color w:val="auto"/>
          <w:sz w:val="20"/>
        </w:rPr>
      </w:pPr>
      <w:r w:rsidRPr="00C64271">
        <w:rPr>
          <w:rFonts w:eastAsia="Calibri"/>
          <w:color w:val="auto"/>
          <w:sz w:val="20"/>
        </w:rPr>
        <w:t xml:space="preserve">NOTE: </w:t>
      </w:r>
      <w:r w:rsidRPr="00C64271">
        <w:rPr>
          <w:rFonts w:eastAsia="Calibri" w:cs="Arial"/>
          <w:color w:val="auto"/>
          <w:sz w:val="20"/>
          <w:szCs w:val="20"/>
        </w:rPr>
        <w:t xml:space="preserve">The purpose of this bill is to establish the Tourism and Commercial Opportunity Zone Tax and Tax Credit Act in order to encourage investment in business development in this state and thereby increase employment and economic development, with concomitant increased aggregate tax revenue arising from economic growth. </w:t>
      </w:r>
    </w:p>
    <w:p w14:paraId="13680A9D" w14:textId="77777777" w:rsidR="00715DAA" w:rsidRPr="00C64271" w:rsidRDefault="00715DAA" w:rsidP="00715DAA">
      <w:pPr>
        <w:widowControl w:val="0"/>
        <w:suppressLineNumbers/>
        <w:spacing w:after="220" w:line="240" w:lineRule="auto"/>
        <w:ind w:left="720" w:right="720"/>
        <w:jc w:val="both"/>
        <w:rPr>
          <w:rFonts w:eastAsia="Calibri"/>
          <w:color w:val="auto"/>
          <w:sz w:val="20"/>
        </w:rPr>
      </w:pPr>
      <w:r w:rsidRPr="00C64271">
        <w:rPr>
          <w:rFonts w:eastAsia="Calibri"/>
          <w:color w:val="auto"/>
          <w:sz w:val="20"/>
        </w:rPr>
        <w:t>Strike-throughs indicate language that would be stricken from a heading or the present law and underscoring indicates new language that would be added.</w:t>
      </w:r>
    </w:p>
    <w:sectPr w:rsidR="00715DAA" w:rsidRPr="00C64271"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C797" w14:textId="77777777" w:rsidR="00EC7C76" w:rsidRPr="00B844FE" w:rsidRDefault="00EC7C76" w:rsidP="00B844FE">
      <w:r>
        <w:separator/>
      </w:r>
    </w:p>
  </w:endnote>
  <w:endnote w:type="continuationSeparator" w:id="0">
    <w:p w14:paraId="394DBC74" w14:textId="77777777" w:rsidR="00EC7C76" w:rsidRPr="00B844FE" w:rsidRDefault="00EC7C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24784"/>
      <w:docPartObj>
        <w:docPartGallery w:val="Page Numbers (Bottom of Page)"/>
        <w:docPartUnique/>
      </w:docPartObj>
    </w:sdtPr>
    <w:sdtEndPr>
      <w:rPr>
        <w:noProof/>
      </w:rPr>
    </w:sdtEndPr>
    <w:sdtContent>
      <w:p w14:paraId="3D1EA61E" w14:textId="3F2B6CAC" w:rsidR="005709BB" w:rsidRDefault="00570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0581" w14:textId="55F4927F" w:rsidR="009D1796" w:rsidRDefault="009D179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F6E3" w14:textId="677B5C89" w:rsidR="003903E5" w:rsidRDefault="005709BB" w:rsidP="005709BB">
    <w:pPr>
      <w:pStyle w:val="Footer"/>
      <w:tabs>
        <w:tab w:val="left" w:pos="6530"/>
      </w:tabs>
    </w:pPr>
    <w:r>
      <w:tab/>
    </w:r>
    <w:sdt>
      <w:sdtPr>
        <w:id w:val="-1692525434"/>
        <w:docPartObj>
          <w:docPartGallery w:val="Page Numbers (Bottom of Page)"/>
          <w:docPartUnique/>
        </w:docPartObj>
      </w:sdtPr>
      <w:sdtEndPr>
        <w:rPr>
          <w:noProof/>
        </w:rPr>
      </w:sdtEndPr>
      <w:sdtContent>
        <w:r w:rsidR="003903E5">
          <w:fldChar w:fldCharType="begin"/>
        </w:r>
        <w:r w:rsidR="003903E5">
          <w:instrText xml:space="preserve"> PAGE   \* MERGEFORMAT </w:instrText>
        </w:r>
        <w:r w:rsidR="003903E5">
          <w:fldChar w:fldCharType="separate"/>
        </w:r>
        <w:r w:rsidR="003903E5">
          <w:rPr>
            <w:noProof/>
          </w:rPr>
          <w:t>2</w:t>
        </w:r>
        <w:r w:rsidR="003903E5">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69387"/>
      <w:docPartObj>
        <w:docPartGallery w:val="Page Numbers (Bottom of Page)"/>
        <w:docPartUnique/>
      </w:docPartObj>
    </w:sdtPr>
    <w:sdtEndPr>
      <w:rPr>
        <w:noProof/>
      </w:rPr>
    </w:sdtEndPr>
    <w:sdtContent>
      <w:p w14:paraId="3911EF34" w14:textId="4506922B" w:rsidR="00A77C5E" w:rsidRDefault="00A77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99F2E" w14:textId="4CC4E855" w:rsidR="00A77C5E" w:rsidRDefault="00A77C5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3506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4AAFD0"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EDB6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ECA1" w14:textId="77777777" w:rsidR="00EC7C76" w:rsidRPr="00B844FE" w:rsidRDefault="00EC7C76" w:rsidP="00B844FE">
      <w:r>
        <w:separator/>
      </w:r>
    </w:p>
  </w:footnote>
  <w:footnote w:type="continuationSeparator" w:id="0">
    <w:p w14:paraId="44E7C884" w14:textId="77777777" w:rsidR="00EC7C76" w:rsidRPr="00B844FE" w:rsidRDefault="00EC7C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35E3" w14:textId="5DCF5994" w:rsidR="00715DAA" w:rsidRDefault="00715DAA" w:rsidP="00E41D53">
    <w:pPr>
      <w:pStyle w:val="HeaderStyle"/>
    </w:pPr>
    <w:bookmarkStart w:id="2" w:name="_Hlk155876803"/>
    <w:bookmarkStart w:id="3" w:name="_Hlk155876804"/>
    <w:r>
      <w:t>Intr HB</w:t>
    </w:r>
    <w:r>
      <w:tab/>
    </w:r>
    <w:r>
      <w:tab/>
    </w:r>
    <w:sdt>
      <w:sdtPr>
        <w:id w:val="-1639412452"/>
        <w:placeholder>
          <w:docPart w:val="DefaultPlaceholder_-1854013440"/>
        </w:placeholder>
      </w:sdtPr>
      <w:sdtEndPr/>
      <w:sdtContent>
        <w:sdt>
          <w:sdtPr>
            <w:alias w:val="CBD Number"/>
            <w:tag w:val="CBD Number"/>
            <w:id w:val="-313024941"/>
            <w:placeholder>
              <w:docPart w:val="DefaultPlaceholder_-1854013440"/>
            </w:placeholder>
          </w:sdtPr>
          <w:sdtEndPr/>
          <w:sdtContent>
            <w:r>
              <w:t>202</w:t>
            </w:r>
            <w:bookmarkEnd w:id="2"/>
            <w:bookmarkEnd w:id="3"/>
            <w:r w:rsidR="00E41D53">
              <w:t>5R1</w:t>
            </w:r>
            <w:r w:rsidR="00512BF3">
              <w:t>7</w:t>
            </w:r>
            <w:r w:rsidR="00E41D53">
              <w:t>50</w:t>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29CB" w14:textId="77777777" w:rsidR="00A77C5E" w:rsidRDefault="00A77C5E" w:rsidP="00A77C5E">
    <w:pPr>
      <w:pStyle w:val="HeaderStyle"/>
    </w:pPr>
    <w:r>
      <w:t>Intr HB</w:t>
    </w:r>
    <w:r>
      <w:tab/>
    </w:r>
    <w:r>
      <w:tab/>
      <w:t>2025R1750</w:t>
    </w:r>
  </w:p>
  <w:p w14:paraId="332B2358" w14:textId="77777777" w:rsidR="00A77C5E" w:rsidRDefault="00A77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E5AF" w14:textId="77777777" w:rsidR="002A0269" w:rsidRPr="00B844FE" w:rsidRDefault="00E400D4">
    <w:pPr>
      <w:pStyle w:val="Header"/>
    </w:pPr>
    <w:sdt>
      <w:sdtPr>
        <w:id w:val="-684364211"/>
        <w:placeholder>
          <w:docPart w:val="2F01CC0A8A8B468BAF98BCD9B0EFFB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01CC0A8A8B468BAF98BCD9B0EFFB78"/>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AE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49C60F6"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921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76"/>
    <w:rsid w:val="0000526A"/>
    <w:rsid w:val="00005E82"/>
    <w:rsid w:val="00047A73"/>
    <w:rsid w:val="000573A9"/>
    <w:rsid w:val="00085D22"/>
    <w:rsid w:val="00093AB0"/>
    <w:rsid w:val="000C5C77"/>
    <w:rsid w:val="000E3912"/>
    <w:rsid w:val="000E6643"/>
    <w:rsid w:val="0010070F"/>
    <w:rsid w:val="0015112E"/>
    <w:rsid w:val="001552E7"/>
    <w:rsid w:val="001566B4"/>
    <w:rsid w:val="001A66B7"/>
    <w:rsid w:val="001B0016"/>
    <w:rsid w:val="001C279E"/>
    <w:rsid w:val="001D459E"/>
    <w:rsid w:val="001E2C87"/>
    <w:rsid w:val="0022348D"/>
    <w:rsid w:val="0027011C"/>
    <w:rsid w:val="00274200"/>
    <w:rsid w:val="00275740"/>
    <w:rsid w:val="002A0269"/>
    <w:rsid w:val="00303684"/>
    <w:rsid w:val="003143F5"/>
    <w:rsid w:val="00314854"/>
    <w:rsid w:val="00387AE9"/>
    <w:rsid w:val="003903E5"/>
    <w:rsid w:val="00394191"/>
    <w:rsid w:val="003C51CD"/>
    <w:rsid w:val="003C6034"/>
    <w:rsid w:val="003D6681"/>
    <w:rsid w:val="00400B5C"/>
    <w:rsid w:val="004323CD"/>
    <w:rsid w:val="004368E0"/>
    <w:rsid w:val="004C13DD"/>
    <w:rsid w:val="004D0BA2"/>
    <w:rsid w:val="004D3ABE"/>
    <w:rsid w:val="004E3441"/>
    <w:rsid w:val="00500579"/>
    <w:rsid w:val="00512BF3"/>
    <w:rsid w:val="0051643A"/>
    <w:rsid w:val="005709BB"/>
    <w:rsid w:val="005A5366"/>
    <w:rsid w:val="005B553D"/>
    <w:rsid w:val="006369EB"/>
    <w:rsid w:val="00637E73"/>
    <w:rsid w:val="006865E9"/>
    <w:rsid w:val="00686E9A"/>
    <w:rsid w:val="00691F3E"/>
    <w:rsid w:val="00694BFB"/>
    <w:rsid w:val="006A106B"/>
    <w:rsid w:val="006C523D"/>
    <w:rsid w:val="006D4036"/>
    <w:rsid w:val="00715DAA"/>
    <w:rsid w:val="007A5259"/>
    <w:rsid w:val="007A7081"/>
    <w:rsid w:val="007F1CF5"/>
    <w:rsid w:val="00834EDE"/>
    <w:rsid w:val="00872D6C"/>
    <w:rsid w:val="00872DBA"/>
    <w:rsid w:val="008736AA"/>
    <w:rsid w:val="008D275D"/>
    <w:rsid w:val="00946186"/>
    <w:rsid w:val="00980327"/>
    <w:rsid w:val="00986478"/>
    <w:rsid w:val="0099448F"/>
    <w:rsid w:val="00997680"/>
    <w:rsid w:val="009B5557"/>
    <w:rsid w:val="009D1796"/>
    <w:rsid w:val="009F1067"/>
    <w:rsid w:val="00A31E01"/>
    <w:rsid w:val="00A527AD"/>
    <w:rsid w:val="00A718CF"/>
    <w:rsid w:val="00A77C5E"/>
    <w:rsid w:val="00AE48A0"/>
    <w:rsid w:val="00AE61BE"/>
    <w:rsid w:val="00B16F25"/>
    <w:rsid w:val="00B24422"/>
    <w:rsid w:val="00B66B81"/>
    <w:rsid w:val="00B71E6F"/>
    <w:rsid w:val="00B77BD6"/>
    <w:rsid w:val="00B80C20"/>
    <w:rsid w:val="00B844FE"/>
    <w:rsid w:val="00B86B4F"/>
    <w:rsid w:val="00BA1F84"/>
    <w:rsid w:val="00BC562B"/>
    <w:rsid w:val="00C33014"/>
    <w:rsid w:val="00C33434"/>
    <w:rsid w:val="00C34869"/>
    <w:rsid w:val="00C42EB6"/>
    <w:rsid w:val="00C62327"/>
    <w:rsid w:val="00C64271"/>
    <w:rsid w:val="00C85096"/>
    <w:rsid w:val="00CB20EF"/>
    <w:rsid w:val="00CC1F3B"/>
    <w:rsid w:val="00CD12CB"/>
    <w:rsid w:val="00CD36CF"/>
    <w:rsid w:val="00CF1DCA"/>
    <w:rsid w:val="00D32039"/>
    <w:rsid w:val="00D42EC6"/>
    <w:rsid w:val="00D4762F"/>
    <w:rsid w:val="00D579FC"/>
    <w:rsid w:val="00D76B36"/>
    <w:rsid w:val="00D81C16"/>
    <w:rsid w:val="00DE526B"/>
    <w:rsid w:val="00DF199D"/>
    <w:rsid w:val="00E01542"/>
    <w:rsid w:val="00E365F1"/>
    <w:rsid w:val="00E400D4"/>
    <w:rsid w:val="00E41D53"/>
    <w:rsid w:val="00E62F48"/>
    <w:rsid w:val="00E831B3"/>
    <w:rsid w:val="00E95FBC"/>
    <w:rsid w:val="00EC5E63"/>
    <w:rsid w:val="00EC7C76"/>
    <w:rsid w:val="00EE70CB"/>
    <w:rsid w:val="00EF0D2F"/>
    <w:rsid w:val="00F41CA2"/>
    <w:rsid w:val="00F443C0"/>
    <w:rsid w:val="00F62EFB"/>
    <w:rsid w:val="00F81692"/>
    <w:rsid w:val="00F939A4"/>
    <w:rsid w:val="00FA5EFE"/>
    <w:rsid w:val="00FA7B09"/>
    <w:rsid w:val="00FD5B51"/>
    <w:rsid w:val="00FE067E"/>
    <w:rsid w:val="00FE208F"/>
    <w:rsid w:val="00FF23A7"/>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532A"/>
  <w15:chartTrackingRefBased/>
  <w15:docId w15:val="{84781ED6-7214-4B90-B10E-D0E42586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15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5DAA"/>
    <w:rPr>
      <w:rFonts w:eastAsia="Calibri"/>
      <w:color w:val="000000"/>
    </w:rPr>
  </w:style>
  <w:style w:type="character" w:customStyle="1" w:styleId="SectionHeadingChar">
    <w:name w:val="Section Heading Char"/>
    <w:link w:val="SectionHeading"/>
    <w:rsid w:val="00715DAA"/>
    <w:rPr>
      <w:rFonts w:eastAsia="Calibri"/>
      <w:b/>
      <w:color w:val="000000"/>
    </w:rPr>
  </w:style>
  <w:style w:type="character" w:customStyle="1" w:styleId="ArticleHeadingChar">
    <w:name w:val="Article Heading Char"/>
    <w:link w:val="ArticleHeading"/>
    <w:rsid w:val="00715DAA"/>
    <w:rPr>
      <w:rFonts w:eastAsia="Calibri"/>
      <w:b/>
      <w:caps/>
      <w:color w:val="000000"/>
      <w:sz w:val="24"/>
    </w:rPr>
  </w:style>
  <w:style w:type="character" w:customStyle="1" w:styleId="ChapterHeadingChar">
    <w:name w:val="Chapter Heading Char"/>
    <w:link w:val="ChapterHeading"/>
    <w:rsid w:val="00715D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1B1302A55460C8ECF008DA7A0FD4F"/>
        <w:category>
          <w:name w:val="General"/>
          <w:gallery w:val="placeholder"/>
        </w:category>
        <w:types>
          <w:type w:val="bbPlcHdr"/>
        </w:types>
        <w:behaviors>
          <w:behavior w:val="content"/>
        </w:behaviors>
        <w:guid w:val="{1F3A0042-6B7F-4D06-BBF2-7AB7CD62E6EC}"/>
      </w:docPartPr>
      <w:docPartBody>
        <w:p w:rsidR="00ED29E9" w:rsidRDefault="00ED29E9">
          <w:pPr>
            <w:pStyle w:val="0C21B1302A55460C8ECF008DA7A0FD4F"/>
          </w:pPr>
          <w:r w:rsidRPr="00B844FE">
            <w:t>Prefix Text</w:t>
          </w:r>
        </w:p>
      </w:docPartBody>
    </w:docPart>
    <w:docPart>
      <w:docPartPr>
        <w:name w:val="2F01CC0A8A8B468BAF98BCD9B0EFFB78"/>
        <w:category>
          <w:name w:val="General"/>
          <w:gallery w:val="placeholder"/>
        </w:category>
        <w:types>
          <w:type w:val="bbPlcHdr"/>
        </w:types>
        <w:behaviors>
          <w:behavior w:val="content"/>
        </w:behaviors>
        <w:guid w:val="{5AD3210C-6070-44F7-9A3D-287A7DE84B37}"/>
      </w:docPartPr>
      <w:docPartBody>
        <w:p w:rsidR="00ED29E9" w:rsidRDefault="00ED29E9">
          <w:pPr>
            <w:pStyle w:val="2F01CC0A8A8B468BAF98BCD9B0EFFB78"/>
          </w:pPr>
          <w:r w:rsidRPr="00B844FE">
            <w:t>[Type here]</w:t>
          </w:r>
        </w:p>
      </w:docPartBody>
    </w:docPart>
    <w:docPart>
      <w:docPartPr>
        <w:name w:val="CEAB300E812E430FA5BC56212F75B0B7"/>
        <w:category>
          <w:name w:val="General"/>
          <w:gallery w:val="placeholder"/>
        </w:category>
        <w:types>
          <w:type w:val="bbPlcHdr"/>
        </w:types>
        <w:behaviors>
          <w:behavior w:val="content"/>
        </w:behaviors>
        <w:guid w:val="{04160323-B715-4D88-BA91-7B95A5928313}"/>
      </w:docPartPr>
      <w:docPartBody>
        <w:p w:rsidR="00ED29E9" w:rsidRDefault="00ED29E9">
          <w:pPr>
            <w:pStyle w:val="CEAB300E812E430FA5BC56212F75B0B7"/>
          </w:pPr>
          <w:r w:rsidRPr="00B844FE">
            <w:t>Number</w:t>
          </w:r>
        </w:p>
      </w:docPartBody>
    </w:docPart>
    <w:docPart>
      <w:docPartPr>
        <w:name w:val="EF4D6A57A0B94F46A310A81AA188A5D8"/>
        <w:category>
          <w:name w:val="General"/>
          <w:gallery w:val="placeholder"/>
        </w:category>
        <w:types>
          <w:type w:val="bbPlcHdr"/>
        </w:types>
        <w:behaviors>
          <w:behavior w:val="content"/>
        </w:behaviors>
        <w:guid w:val="{11B8A9CD-F26C-43E0-A812-E7C879240FA3}"/>
      </w:docPartPr>
      <w:docPartBody>
        <w:p w:rsidR="00ED29E9" w:rsidRDefault="00ED29E9">
          <w:pPr>
            <w:pStyle w:val="EF4D6A57A0B94F46A310A81AA188A5D8"/>
          </w:pPr>
          <w:r w:rsidRPr="00B844FE">
            <w:t>Enter Sponsors Here</w:t>
          </w:r>
        </w:p>
      </w:docPartBody>
    </w:docPart>
    <w:docPart>
      <w:docPartPr>
        <w:name w:val="AFBCE682596B42BB8877F4A9BF4168FA"/>
        <w:category>
          <w:name w:val="General"/>
          <w:gallery w:val="placeholder"/>
        </w:category>
        <w:types>
          <w:type w:val="bbPlcHdr"/>
        </w:types>
        <w:behaviors>
          <w:behavior w:val="content"/>
        </w:behaviors>
        <w:guid w:val="{B39A0878-D622-4AF6-A412-36464D291821}"/>
      </w:docPartPr>
      <w:docPartBody>
        <w:p w:rsidR="00ED29E9" w:rsidRDefault="00ED29E9">
          <w:pPr>
            <w:pStyle w:val="AFBCE682596B42BB8877F4A9BF4168FA"/>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808846C-235E-40B3-AA37-1AADEF129B84}"/>
      </w:docPartPr>
      <w:docPartBody>
        <w:p w:rsidR="00CF6A2E" w:rsidRDefault="00CF6A2E">
          <w:r w:rsidRPr="007D5F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E9"/>
    <w:rsid w:val="0099448F"/>
    <w:rsid w:val="00997680"/>
    <w:rsid w:val="00CF6A2E"/>
    <w:rsid w:val="00D32039"/>
    <w:rsid w:val="00ED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1B1302A55460C8ECF008DA7A0FD4F">
    <w:name w:val="0C21B1302A55460C8ECF008DA7A0FD4F"/>
  </w:style>
  <w:style w:type="paragraph" w:customStyle="1" w:styleId="2F01CC0A8A8B468BAF98BCD9B0EFFB78">
    <w:name w:val="2F01CC0A8A8B468BAF98BCD9B0EFFB78"/>
  </w:style>
  <w:style w:type="paragraph" w:customStyle="1" w:styleId="CEAB300E812E430FA5BC56212F75B0B7">
    <w:name w:val="CEAB300E812E430FA5BC56212F75B0B7"/>
  </w:style>
  <w:style w:type="paragraph" w:customStyle="1" w:styleId="EF4D6A57A0B94F46A310A81AA188A5D8">
    <w:name w:val="EF4D6A57A0B94F46A310A81AA188A5D8"/>
  </w:style>
  <w:style w:type="character" w:styleId="PlaceholderText">
    <w:name w:val="Placeholder Text"/>
    <w:basedOn w:val="DefaultParagraphFont"/>
    <w:uiPriority w:val="99"/>
    <w:semiHidden/>
    <w:rsid w:val="00CF6A2E"/>
    <w:rPr>
      <w:color w:val="808080"/>
    </w:rPr>
  </w:style>
  <w:style w:type="paragraph" w:customStyle="1" w:styleId="AFBCE682596B42BB8877F4A9BF4168FA">
    <w:name w:val="AFBCE682596B42BB8877F4A9BF416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Rebecca Sutton</cp:lastModifiedBy>
  <cp:revision>4</cp:revision>
  <cp:lastPrinted>2024-12-26T18:36:00Z</cp:lastPrinted>
  <dcterms:created xsi:type="dcterms:W3CDTF">2025-02-11T23:56:00Z</dcterms:created>
  <dcterms:modified xsi:type="dcterms:W3CDTF">2025-02-25T19:36:00Z</dcterms:modified>
</cp:coreProperties>
</file>